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lang w:val="en-US"/>
        </w:rPr>
      </w:pPr>
      <w:r>
        <w:rPr>
          <w:rFonts w:hint="eastAsia" w:ascii="Times New Roman" w:hAnsi="Times New Roman" w:eastAsia="仿宋_GB2312" w:cs="Times New Roman"/>
          <w:color w:val="auto"/>
          <w:sz w:val="32"/>
          <w:szCs w:val="32"/>
          <w:lang w:val="en-US" w:eastAsia="zh-CN"/>
        </w:rPr>
        <w:t>HCDR-2</w:t>
      </w:r>
      <w:r>
        <w:rPr>
          <w:rFonts w:hint="eastAsia" w:ascii="Times New Roman" w:hAnsi="Times New Roman" w:eastAsia="仿宋_GB2312" w:cs="Times New Roman"/>
          <w:color w:val="auto"/>
          <w:sz w:val="32"/>
          <w:szCs w:val="32"/>
        </w:rPr>
        <w:t>0</w:t>
      </w:r>
      <w:r>
        <w:rPr>
          <w:rFonts w:hint="eastAsia" w:ascii="Times New Roman" w:hAnsi="Times New Roman" w:eastAsia="仿宋_GB2312" w:cs="Times New Roman"/>
          <w:color w:val="auto"/>
          <w:sz w:val="32"/>
          <w:szCs w:val="32"/>
          <w:lang w:val="en-US" w:eastAsia="zh-CN"/>
        </w:rPr>
        <w:t>22-0030001</w:t>
      </w:r>
    </w:p>
    <w:p>
      <w:pPr>
        <w:jc w:val="center"/>
        <w:rPr>
          <w:rFonts w:hint="eastAsia" w:ascii="文星简小标宋" w:hAnsi="文星简小标宋" w:eastAsia="文星简小标宋" w:cs="文星简小标宋"/>
          <w:b w:val="0"/>
          <w:bCs w:val="0"/>
          <w:color w:val="0000FF"/>
          <w:sz w:val="44"/>
          <w:szCs w:val="44"/>
        </w:rPr>
      </w:pPr>
    </w:p>
    <w:p>
      <w:pPr>
        <w:jc w:val="center"/>
        <w:rPr>
          <w:rFonts w:hint="eastAsia" w:ascii="文星简小标宋" w:hAnsi="文星简小标宋" w:eastAsia="文星简小标宋" w:cs="文星简小标宋"/>
          <w:b w:val="0"/>
          <w:bCs w:val="0"/>
          <w:color w:val="0000FF"/>
          <w:sz w:val="44"/>
          <w:szCs w:val="44"/>
        </w:rPr>
      </w:pPr>
    </w:p>
    <w:p>
      <w:pPr>
        <w:pStyle w:val="2"/>
        <w:keepNext w:val="0"/>
        <w:keepLines w:val="0"/>
        <w:pageBreakBefore w:val="0"/>
        <w:widowControl w:val="0"/>
        <w:kinsoku/>
        <w:wordWrap/>
        <w:overflowPunct/>
        <w:topLinePunct w:val="0"/>
        <w:autoSpaceDE/>
        <w:autoSpaceDN/>
        <w:bidi w:val="0"/>
        <w:snapToGrid/>
        <w:spacing w:before="62" w:beforeLines="20" w:line="660" w:lineRule="exact"/>
        <w:ind w:left="0" w:leftChars="0" w:right="0" w:rightChars="0"/>
        <w:jc w:val="center"/>
        <w:textAlignment w:val="auto"/>
        <w:outlineLvl w:val="9"/>
        <w:rPr>
          <w:rFonts w:hint="eastAsia" w:ascii="Times New Roman" w:hAnsi="Times New Roman" w:eastAsia="文星简小标宋" w:cs="文星简小标宋"/>
          <w:sz w:val="44"/>
        </w:rPr>
      </w:pPr>
      <w:bookmarkStart w:id="0" w:name="_GoBack"/>
      <w:bookmarkEnd w:id="0"/>
      <w:r>
        <w:rPr>
          <w:rFonts w:ascii="Times New Roman" w:hAnsi="Times New Roman" w:eastAsia="黑体"/>
          <w:sz w:val="44"/>
        </w:rPr>
        <w:t xml:space="preserve">     </w:t>
      </w:r>
      <w:r>
        <w:rPr>
          <w:rFonts w:hint="eastAsia" w:ascii="Times New Roman" w:hAnsi="Times New Roman" w:eastAsia="黑体"/>
          <w:sz w:val="44"/>
          <w:lang w:val="en-US" w:eastAsia="zh-CN"/>
        </w:rPr>
        <w:t xml:space="preserve">      </w:t>
      </w:r>
      <w:r>
        <w:rPr>
          <w:rFonts w:hint="eastAsia" w:ascii="Times New Roman" w:hAnsi="Times New Roman" w:eastAsia="文星简小标宋" w:cs="文星简小标宋"/>
          <w:sz w:val="44"/>
        </w:rPr>
        <w:t>发展和改革局</w:t>
      </w:r>
    </w:p>
    <w:p>
      <w:pPr>
        <w:pStyle w:val="2"/>
        <w:keepNext w:val="0"/>
        <w:keepLines w:val="0"/>
        <w:pageBreakBefore w:val="0"/>
        <w:widowControl w:val="0"/>
        <w:kinsoku/>
        <w:wordWrap/>
        <w:overflowPunct/>
        <w:topLinePunct w:val="0"/>
        <w:autoSpaceDE/>
        <w:autoSpaceDN/>
        <w:bidi w:val="0"/>
        <w:snapToGrid/>
        <w:spacing w:line="560" w:lineRule="exact"/>
        <w:ind w:left="0" w:leftChars="0" w:right="0" w:rightChars="0"/>
        <w:jc w:val="center"/>
        <w:textAlignment w:val="auto"/>
        <w:outlineLvl w:val="9"/>
        <w:rPr>
          <w:rFonts w:hint="eastAsia" w:ascii="Times New Roman" w:hAnsi="Times New Roman" w:eastAsia="文星简小标宋" w:cs="文星简小标宋"/>
          <w:sz w:val="44"/>
        </w:rPr>
      </w:pPr>
      <w:r>
        <w:rPr>
          <w:rFonts w:hint="eastAsia" w:ascii="Times New Roman" w:hAnsi="Times New Roman" w:eastAsia="文星简小标宋" w:cs="文星简小标宋"/>
          <w:sz w:val="44"/>
        </w:rPr>
        <w:t xml:space="preserve">           </w:t>
      </w:r>
      <w:r>
        <w:rPr>
          <w:rFonts w:hint="eastAsia" w:ascii="Times New Roman" w:hAnsi="Times New Roman" w:eastAsia="文星简小标宋" w:cs="文星简小标宋"/>
          <w:sz w:val="44"/>
          <w:lang w:eastAsia="zh-CN"/>
        </w:rPr>
        <w:t>水</w:t>
      </w:r>
      <w:r>
        <w:rPr>
          <w:rFonts w:hint="eastAsia" w:ascii="Times New Roman" w:hAnsi="Times New Roman" w:eastAsia="文星简小标宋" w:cs="文星简小标宋"/>
          <w:sz w:val="44"/>
        </w:rPr>
        <w:t xml:space="preserve">   </w:t>
      </w:r>
      <w:r>
        <w:rPr>
          <w:rFonts w:hint="eastAsia" w:ascii="Times New Roman" w:hAnsi="Times New Roman" w:eastAsia="文星简小标宋" w:cs="文星简小标宋"/>
          <w:sz w:val="44"/>
          <w:lang w:eastAsia="zh-CN"/>
        </w:rPr>
        <w:t>利</w:t>
      </w:r>
      <w:r>
        <w:rPr>
          <w:rFonts w:hint="eastAsia" w:ascii="Times New Roman" w:hAnsi="Times New Roman" w:eastAsia="文星简小标宋" w:cs="文星简小标宋"/>
          <w:sz w:val="44"/>
        </w:rPr>
        <w:t xml:space="preserve">   局</w:t>
      </w:r>
    </w:p>
    <w:p>
      <w:pPr>
        <w:pStyle w:val="2"/>
        <w:keepNext w:val="0"/>
        <w:keepLines w:val="0"/>
        <w:pageBreakBefore w:val="0"/>
        <w:widowControl w:val="0"/>
        <w:kinsoku/>
        <w:wordWrap/>
        <w:overflowPunct/>
        <w:topLinePunct w:val="0"/>
        <w:autoSpaceDE/>
        <w:autoSpaceDN/>
        <w:bidi w:val="0"/>
        <w:snapToGrid/>
        <w:spacing w:line="560" w:lineRule="exact"/>
        <w:ind w:left="0" w:leftChars="0" w:right="0" w:rightChars="0"/>
        <w:jc w:val="center"/>
        <w:textAlignment w:val="auto"/>
        <w:outlineLvl w:val="9"/>
        <w:rPr>
          <w:rFonts w:ascii="Times New Roman" w:hAnsi="Times New Roman" w:eastAsia="黑体"/>
          <w:sz w:val="32"/>
        </w:rPr>
      </w:pPr>
    </w:p>
    <w:p>
      <w:pPr>
        <w:pStyle w:val="2"/>
        <w:keepNext w:val="0"/>
        <w:keepLines w:val="0"/>
        <w:pageBreakBefore w:val="0"/>
        <w:widowControl w:val="0"/>
        <w:kinsoku/>
        <w:wordWrap/>
        <w:overflowPunct/>
        <w:topLinePunct w:val="0"/>
        <w:autoSpaceDE/>
        <w:autoSpaceDN/>
        <w:bidi w:val="0"/>
        <w:snapToGrid/>
        <w:spacing w:line="560" w:lineRule="exact"/>
        <w:ind w:left="0" w:leftChars="0" w:right="0" w:rightChars="0" w:firstLine="768" w:firstLineChars="240"/>
        <w:textAlignment w:val="auto"/>
        <w:outlineLvl w:val="9"/>
        <w:rPr>
          <w:rFonts w:hint="eastAsia" w:ascii="Times New Roman" w:hAnsi="Times New Roman" w:eastAsia="仿宋_GB2312"/>
          <w:sz w:val="32"/>
          <w:lang w:eastAsia="zh-CN"/>
        </w:rPr>
      </w:pPr>
      <w:r>
        <w:rPr>
          <w:rFonts w:hint="default" w:ascii="Times New Roman" w:hAnsi="Times New Roman" w:eastAsia="仿宋_GB2312"/>
          <w:sz w:val="32"/>
        </w:rPr>
        <w:t xml:space="preserve">                                </w:t>
      </w:r>
      <w:r>
        <w:rPr>
          <w:rFonts w:hint="eastAsia" w:ascii="Times New Roman" w:hAnsi="Times New Roman" w:eastAsia="仿宋_GB2312"/>
          <w:sz w:val="32"/>
          <w:lang w:val="en-US" w:eastAsia="zh-CN"/>
        </w:rPr>
        <w:t xml:space="preserve"> </w:t>
      </w:r>
      <w:r>
        <w:rPr>
          <w:rFonts w:ascii="Times New Roman" w:hAnsi="Times New Roman" w:eastAsia="仿宋_GB2312"/>
          <w:sz w:val="32"/>
        </w:rPr>
        <w:t>签发人：</w:t>
      </w:r>
      <w:r>
        <w:rPr>
          <w:rFonts w:hint="eastAsia" w:ascii="Times New Roman" w:hAnsi="Times New Roman" w:eastAsia="楷体"/>
          <w:sz w:val="32"/>
          <w:lang w:eastAsia="zh-CN"/>
        </w:rPr>
        <w:t>刘昌军</w:t>
      </w:r>
    </w:p>
    <w:p>
      <w:pPr>
        <w:keepNext w:val="0"/>
        <w:keepLines w:val="0"/>
        <w:pageBreakBefore w:val="0"/>
        <w:widowControl w:val="0"/>
        <w:kinsoku/>
        <w:wordWrap/>
        <w:overflowPunct/>
        <w:topLinePunct w:val="0"/>
        <w:autoSpaceDE/>
        <w:autoSpaceDN/>
        <w:bidi w:val="0"/>
        <w:snapToGrid/>
        <w:spacing w:line="560" w:lineRule="exact"/>
        <w:ind w:left="0" w:leftChars="0" w:right="0" w:rightChars="0"/>
        <w:textAlignment w:val="auto"/>
        <w:outlineLvl w:val="9"/>
        <w:rPr>
          <w:rFonts w:hint="eastAsia" w:ascii="Times New Roman" w:hAnsi="Times New Roman"/>
        </w:rPr>
      </w:pPr>
      <w:r>
        <w:rPr>
          <w:rFonts w:ascii="Times New Roman" w:hAnsi="Times New Roman" w:eastAsia="仿宋_GB2312"/>
          <w:sz w:val="32"/>
        </w:rPr>
        <w:t>威环</w:t>
      </w:r>
      <w:r>
        <w:rPr>
          <w:rFonts w:hint="eastAsia" w:ascii="Times New Roman" w:hAnsi="Times New Roman" w:eastAsia="仿宋_GB2312"/>
          <w:sz w:val="32"/>
        </w:rPr>
        <w:t>发改字</w:t>
      </w:r>
      <w:r>
        <w:rPr>
          <w:rFonts w:hint="eastAsia" w:ascii="Times New Roman" w:hAnsi="Times New Roman" w:eastAsia="仿宋_GB2312"/>
          <w:sz w:val="32"/>
          <w:szCs w:val="32"/>
          <w:highlight w:val="none"/>
        </w:rPr>
        <w:t>〔</w:t>
      </w:r>
      <w:r>
        <w:rPr>
          <w:rFonts w:ascii="Times New Roman" w:hAnsi="Times New Roman" w:eastAsia="仿宋_GB2312"/>
          <w:sz w:val="32"/>
          <w:szCs w:val="32"/>
          <w:highlight w:val="none"/>
        </w:rPr>
        <w:t>20</w:t>
      </w:r>
      <w:r>
        <w:rPr>
          <w:rFonts w:hint="eastAsia" w:ascii="Times New Roman" w:hAnsi="Times New Roman" w:eastAsia="仿宋_GB2312"/>
          <w:sz w:val="32"/>
          <w:szCs w:val="32"/>
          <w:highlight w:val="none"/>
          <w:lang w:val="en-US" w:eastAsia="zh-CN"/>
        </w:rPr>
        <w:t>22</w:t>
      </w:r>
      <w:r>
        <w:rPr>
          <w:rFonts w:hint="eastAsia" w:ascii="Times New Roman" w:hAnsi="Times New Roman" w:eastAsia="仿宋_GB2312"/>
          <w:sz w:val="32"/>
          <w:szCs w:val="32"/>
          <w:highlight w:val="none"/>
        </w:rPr>
        <w:t>〕</w:t>
      </w:r>
      <w:r>
        <w:rPr>
          <w:rFonts w:hint="eastAsia" w:ascii="Times New Roman" w:hAnsi="Times New Roman" w:eastAsia="仿宋_GB2312"/>
          <w:sz w:val="32"/>
          <w:highlight w:val="none"/>
          <w:lang w:val="en-US" w:eastAsia="zh-CN"/>
        </w:rPr>
        <w:t>26</w:t>
      </w:r>
      <w:r>
        <w:rPr>
          <w:rFonts w:ascii="Times New Roman" w:hAnsi="Times New Roman" w:eastAsia="仿宋_GB2312"/>
          <w:sz w:val="32"/>
        </w:rPr>
        <w:t xml:space="preserve">号 </w:t>
      </w:r>
      <w:r>
        <w:rPr>
          <w:rFonts w:hint="eastAsia" w:ascii="Times New Roman" w:hAnsi="Times New Roman" w:eastAsia="仿宋_GB2312"/>
          <w:sz w:val="32"/>
        </w:rPr>
        <w:t xml:space="preserve"> </w:t>
      </w:r>
      <w:r>
        <w:rPr>
          <w:rFonts w:ascii="Times New Roman" w:hAnsi="Times New Roman" w:eastAsia="仿宋_GB2312"/>
          <w:sz w:val="32"/>
        </w:rPr>
        <w:t xml:space="preserve">                </w:t>
      </w:r>
      <w:r>
        <w:rPr>
          <w:rFonts w:hint="eastAsia" w:ascii="Times New Roman" w:hAnsi="Times New Roman" w:eastAsia="仿宋_GB2312"/>
          <w:sz w:val="10"/>
          <w:szCs w:val="10"/>
        </w:rPr>
        <w:t xml:space="preserve"> </w:t>
      </w:r>
      <w:r>
        <w:rPr>
          <w:rFonts w:hint="eastAsia" w:ascii="Times New Roman" w:hAnsi="Times New Roman" w:eastAsia="仿宋_GB2312"/>
          <w:sz w:val="10"/>
          <w:szCs w:val="10"/>
          <w:lang w:val="en-US" w:eastAsia="zh-CN"/>
        </w:rPr>
        <w:t xml:space="preserve">      </w:t>
      </w:r>
      <w:r>
        <w:rPr>
          <w:rFonts w:hint="eastAsia" w:ascii="Times New Roman" w:hAnsi="Times New Roman" w:eastAsia="仿宋_GB2312"/>
          <w:sz w:val="32"/>
        </w:rPr>
        <w:t xml:space="preserve"> </w:t>
      </w:r>
      <w:r>
        <w:rPr>
          <w:rFonts w:hint="eastAsia" w:ascii="Times New Roman" w:hAnsi="Times New Roman" w:eastAsia="仿宋_GB2312"/>
          <w:sz w:val="32"/>
          <w:lang w:val="en-US" w:eastAsia="zh-CN"/>
        </w:rPr>
        <w:t xml:space="preserve">  </w:t>
      </w:r>
      <w:r>
        <w:rPr>
          <w:rFonts w:hint="eastAsia" w:ascii="Times New Roman" w:hAnsi="Times New Roman" w:eastAsia="楷体"/>
          <w:sz w:val="32"/>
          <w:highlight w:val="none"/>
          <w:lang w:eastAsia="zh-CN"/>
        </w:rPr>
        <w:t>吕进柏</w:t>
      </w:r>
    </w:p>
    <w:p>
      <w:pPr>
        <w:jc w:val="center"/>
        <w:rPr>
          <w:rFonts w:hint="eastAsia" w:ascii="文星简小标宋" w:hAnsi="文星简小标宋" w:eastAsia="文星简小标宋" w:cs="文星简小标宋"/>
          <w:b w:val="0"/>
          <w:bCs w:val="0"/>
          <w:color w:val="0000FF"/>
          <w:sz w:val="44"/>
          <w:szCs w:val="44"/>
        </w:rPr>
      </w:pPr>
    </w:p>
    <w:p>
      <w:pPr>
        <w:jc w:val="center"/>
        <w:rPr>
          <w:rFonts w:hint="eastAsia" w:ascii="文星简小标宋" w:hAnsi="文星简小标宋" w:eastAsia="文星简小标宋" w:cs="文星简小标宋"/>
          <w:b w:val="0"/>
          <w:bCs w:val="0"/>
          <w:color w:val="auto"/>
          <w:sz w:val="44"/>
          <w:szCs w:val="44"/>
        </w:rPr>
      </w:pPr>
      <w:r>
        <w:rPr>
          <w:rFonts w:hint="eastAsia" w:ascii="文星简小标宋" w:hAnsi="文星简小标宋" w:eastAsia="文星简小标宋" w:cs="文星简小标宋"/>
          <w:b w:val="0"/>
          <w:bCs w:val="0"/>
          <w:color w:val="auto"/>
          <w:sz w:val="44"/>
          <w:szCs w:val="44"/>
        </w:rPr>
        <w:t>关于农业水价综合改革项目区实行</w:t>
      </w:r>
    </w:p>
    <w:p>
      <w:pPr>
        <w:jc w:val="center"/>
        <w:rPr>
          <w:rFonts w:hint="eastAsia" w:ascii="文星简小标宋" w:hAnsi="文星简小标宋" w:eastAsia="文星简小标宋" w:cs="文星简小标宋"/>
          <w:b w:val="0"/>
          <w:bCs w:val="0"/>
          <w:color w:val="auto"/>
          <w:sz w:val="44"/>
          <w:szCs w:val="44"/>
        </w:rPr>
      </w:pPr>
      <w:r>
        <w:rPr>
          <w:rFonts w:hint="eastAsia" w:ascii="文星简小标宋" w:hAnsi="文星简小标宋" w:eastAsia="文星简小标宋" w:cs="文星简小标宋"/>
          <w:b w:val="0"/>
          <w:bCs w:val="0"/>
          <w:color w:val="auto"/>
          <w:sz w:val="44"/>
          <w:szCs w:val="44"/>
        </w:rPr>
        <w:t>农业用水终端水价的通知</w:t>
      </w:r>
    </w:p>
    <w:p>
      <w:pPr>
        <w:jc w:val="center"/>
        <w:rPr>
          <w:rFonts w:ascii="Times New Roman" w:hAnsi="Times New Roman" w:cs="Times New Roman" w:eastAsiaTheme="majorEastAsia"/>
          <w:color w:val="auto"/>
          <w:sz w:val="44"/>
          <w:szCs w:val="44"/>
        </w:rPr>
      </w:pP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各相关镇街</w:t>
      </w:r>
      <w:r>
        <w:rPr>
          <w:rFonts w:hint="eastAsia" w:ascii="Times New Roman" w:hAnsi="Times New Roman" w:eastAsia="仿宋_GB2312" w:cs="Times New Roman"/>
          <w:color w:val="auto"/>
          <w:sz w:val="32"/>
          <w:szCs w:val="32"/>
          <w:lang w:eastAsia="zh-CN"/>
        </w:rPr>
        <w:t>、区直有关部门</w:t>
      </w:r>
      <w:r>
        <w:rPr>
          <w:rFonts w:ascii="Times New Roman" w:hAnsi="Times New Roman" w:eastAsia="仿宋_GB2312" w:cs="Times New Roman"/>
          <w:color w:val="auto"/>
          <w:sz w:val="32"/>
          <w:szCs w:val="32"/>
        </w:rPr>
        <w:t>：</w:t>
      </w:r>
    </w:p>
    <w:p>
      <w:pPr>
        <w:keepNext w:val="0"/>
        <w:keepLines w:val="0"/>
        <w:pageBreakBefore w:val="0"/>
        <w:widowControl w:val="0"/>
        <w:kinsoku/>
        <w:wordWrap/>
        <w:overflowPunct/>
        <w:topLinePunct w:val="0"/>
        <w:autoSpaceDE/>
        <w:autoSpaceDN/>
        <w:bidi w:val="0"/>
        <w:adjustRightInd/>
        <w:snapToGrid/>
        <w:spacing w:line="600" w:lineRule="exact"/>
        <w:ind w:firstLine="640"/>
        <w:textAlignment w:val="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为健全农业水价形成机制，规范灌溉水费征收、使用和管理，根据山东省人民政府办公厅《关于印发山东省农业水价综合改革实施方案的通知》（鲁政办发</w:t>
      </w:r>
      <w:r>
        <w:rPr>
          <w:rFonts w:hint="eastAsia" w:ascii="Times New Roman" w:hAnsi="Times New Roman" w:eastAsia="仿宋_GB2312" w:cs="Times New Roman"/>
          <w:color w:val="auto"/>
          <w:sz w:val="32"/>
          <w:szCs w:val="32"/>
        </w:rPr>
        <w:t>〔201</w:t>
      </w:r>
      <w:r>
        <w:rPr>
          <w:rFonts w:hint="eastAsia" w:ascii="Times New Roman" w:hAnsi="Times New Roman" w:eastAsia="仿宋_GB2312" w:cs="Times New Roman"/>
          <w:color w:val="auto"/>
          <w:sz w:val="32"/>
          <w:szCs w:val="32"/>
          <w:lang w:val="en-US" w:eastAsia="zh-CN"/>
        </w:rPr>
        <w:t>6</w:t>
      </w:r>
      <w:r>
        <w:rPr>
          <w:rFonts w:hint="eastAsia" w:ascii="Times New Roman" w:hAnsi="Times New Roman" w:eastAsia="仿宋_GB2312" w:cs="Times New Roman"/>
          <w:color w:val="auto"/>
          <w:sz w:val="32"/>
          <w:szCs w:val="32"/>
        </w:rPr>
        <w:t>〕</w:t>
      </w:r>
      <w:r>
        <w:rPr>
          <w:rFonts w:ascii="Times New Roman" w:hAnsi="Times New Roman" w:eastAsia="仿宋_GB2312" w:cs="Times New Roman"/>
          <w:color w:val="auto"/>
          <w:sz w:val="32"/>
          <w:szCs w:val="32"/>
        </w:rPr>
        <w:t>44号）</w:t>
      </w:r>
      <w:r>
        <w:rPr>
          <w:rFonts w:hint="eastAsia" w:ascii="Times New Roman" w:hAnsi="Times New Roman" w:eastAsia="仿宋_GB2312" w:cs="Times New Roman"/>
          <w:color w:val="auto"/>
          <w:sz w:val="32"/>
          <w:szCs w:val="32"/>
          <w:lang w:eastAsia="zh-CN"/>
        </w:rPr>
        <w:t>、《关于深入开展“十四五”时期农业水价综合改革工作的通知》（威水农发</w:t>
      </w:r>
      <w:r>
        <w:rPr>
          <w:rFonts w:hint="eastAsia" w:ascii="Times New Roman" w:hAnsi="Times New Roman" w:eastAsia="仿宋_GB2312" w:cs="Times New Roman"/>
          <w:color w:val="auto"/>
          <w:sz w:val="32"/>
          <w:szCs w:val="32"/>
        </w:rPr>
        <w:t>〔20</w:t>
      </w:r>
      <w:r>
        <w:rPr>
          <w:rFonts w:hint="eastAsia" w:ascii="Times New Roman" w:hAnsi="Times New Roman" w:eastAsia="仿宋_GB2312" w:cs="Times New Roman"/>
          <w:color w:val="auto"/>
          <w:sz w:val="32"/>
          <w:szCs w:val="32"/>
          <w:lang w:val="en-US" w:eastAsia="zh-CN"/>
        </w:rPr>
        <w:t>22</w:t>
      </w:r>
      <w:r>
        <w:rPr>
          <w:rFonts w:hint="eastAsia"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val="en-US" w:eastAsia="zh-CN"/>
        </w:rPr>
        <w:t>1</w:t>
      </w:r>
      <w:r>
        <w:rPr>
          <w:rFonts w:ascii="Times New Roman" w:hAnsi="Times New Roman" w:eastAsia="仿宋_GB2312" w:cs="Times New Roman"/>
          <w:color w:val="auto"/>
          <w:sz w:val="32"/>
          <w:szCs w:val="32"/>
        </w:rPr>
        <w:t>号</w:t>
      </w:r>
      <w:r>
        <w:rPr>
          <w:rFonts w:hint="eastAsia" w:ascii="Times New Roman" w:hAnsi="Times New Roman" w:eastAsia="仿宋_GB2312" w:cs="Times New Roman"/>
          <w:color w:val="auto"/>
          <w:sz w:val="32"/>
          <w:szCs w:val="32"/>
          <w:lang w:eastAsia="zh-CN"/>
        </w:rPr>
        <w:t>）要求，</w:t>
      </w:r>
      <w:r>
        <w:rPr>
          <w:rFonts w:ascii="Times New Roman" w:hAnsi="Times New Roman" w:eastAsia="仿宋_GB2312" w:cs="Times New Roman"/>
          <w:color w:val="auto"/>
          <w:sz w:val="32"/>
          <w:szCs w:val="32"/>
        </w:rPr>
        <w:t>在农业水价综合改革项目区实行农业终端水价，</w:t>
      </w:r>
      <w:r>
        <w:rPr>
          <w:rFonts w:hint="eastAsia" w:ascii="Times New Roman" w:hAnsi="Times New Roman" w:eastAsia="仿宋_GB2312" w:cs="Times New Roman"/>
          <w:color w:val="auto"/>
          <w:sz w:val="32"/>
          <w:szCs w:val="32"/>
          <w:lang w:eastAsia="zh-CN"/>
        </w:rPr>
        <w:t>现将有关事项通知如下</w:t>
      </w:r>
      <w:r>
        <w:rPr>
          <w:rFonts w:ascii="Times New Roman" w:hAnsi="Times New Roman" w:eastAsia="仿宋_GB2312" w:cs="Times New Roman"/>
          <w:color w:val="auto"/>
          <w:sz w:val="32"/>
          <w:szCs w:val="32"/>
        </w:rPr>
        <w:t>：</w:t>
      </w:r>
    </w:p>
    <w:p>
      <w:pPr>
        <w:keepNext w:val="0"/>
        <w:keepLines w:val="0"/>
        <w:pageBreakBefore w:val="0"/>
        <w:widowControl w:val="0"/>
        <w:kinsoku/>
        <w:wordWrap/>
        <w:overflowPunct/>
        <w:topLinePunct w:val="0"/>
        <w:autoSpaceDE/>
        <w:autoSpaceDN/>
        <w:bidi w:val="0"/>
        <w:adjustRightInd/>
        <w:snapToGrid/>
        <w:spacing w:line="600" w:lineRule="exact"/>
        <w:ind w:firstLine="640"/>
        <w:textAlignment w:val="auto"/>
        <w:rPr>
          <w:rFonts w:ascii="Times New Roman" w:hAnsi="Times New Roman" w:eastAsia="黑体" w:cs="Times New Roman"/>
          <w:color w:val="auto"/>
          <w:sz w:val="32"/>
          <w:szCs w:val="32"/>
        </w:rPr>
      </w:pPr>
      <w:r>
        <w:rPr>
          <w:rFonts w:ascii="Times New Roman" w:hAnsi="Times New Roman" w:eastAsia="黑体" w:cs="Times New Roman"/>
          <w:color w:val="auto"/>
          <w:sz w:val="32"/>
          <w:szCs w:val="32"/>
        </w:rPr>
        <w:t>一、基本水价</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Times New Roman" w:hAnsi="Times New Roman" w:eastAsia="仿宋_GB2312" w:cs="Times New Roman"/>
          <w:color w:val="auto"/>
          <w:sz w:val="32"/>
          <w:szCs w:val="32"/>
        </w:rPr>
      </w:pPr>
      <w:r>
        <w:rPr>
          <w:rFonts w:ascii="Times New Roman" w:hAnsi="Times New Roman" w:eastAsia="楷体_GB2312" w:cs="Times New Roman"/>
          <w:color w:val="auto"/>
          <w:sz w:val="32"/>
          <w:szCs w:val="32"/>
        </w:rPr>
        <w:t>1、定价原则：</w:t>
      </w:r>
      <w:r>
        <w:rPr>
          <w:rFonts w:ascii="Times New Roman" w:hAnsi="Times New Roman" w:eastAsia="仿宋_GB2312" w:cs="Times New Roman"/>
          <w:color w:val="auto"/>
          <w:sz w:val="32"/>
          <w:szCs w:val="32"/>
        </w:rPr>
        <w:t>农业水价按照“保障运行、促进节水、减轻负担”的原则，经</w:t>
      </w:r>
      <w:r>
        <w:rPr>
          <w:rFonts w:hint="eastAsia" w:ascii="Times New Roman" w:hAnsi="Times New Roman" w:eastAsia="仿宋_GB2312" w:cs="Times New Roman"/>
          <w:color w:val="auto"/>
          <w:sz w:val="32"/>
          <w:szCs w:val="32"/>
          <w:lang w:eastAsia="zh-CN"/>
        </w:rPr>
        <w:t>发改</w:t>
      </w:r>
      <w:r>
        <w:rPr>
          <w:rFonts w:ascii="Times New Roman" w:hAnsi="Times New Roman" w:eastAsia="仿宋_GB2312" w:cs="Times New Roman"/>
          <w:color w:val="auto"/>
          <w:sz w:val="32"/>
          <w:szCs w:val="32"/>
        </w:rPr>
        <w:t>、水利部门会同合作社等管水组织对改革项目区农业终端水价进行成本测算，决定实行计量收费，执行农业用水终端水价制度。</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Times New Roman" w:hAnsi="Times New Roman" w:eastAsia="仿宋_GB2312" w:cs="Times New Roman"/>
          <w:color w:val="auto"/>
          <w:sz w:val="32"/>
          <w:szCs w:val="32"/>
        </w:rPr>
      </w:pPr>
      <w:r>
        <w:rPr>
          <w:rFonts w:ascii="Times New Roman" w:hAnsi="Times New Roman" w:eastAsia="楷体_GB2312" w:cs="Times New Roman"/>
          <w:color w:val="auto"/>
          <w:sz w:val="32"/>
          <w:szCs w:val="32"/>
        </w:rPr>
        <w:t>2、成本价格：</w:t>
      </w:r>
      <w:r>
        <w:rPr>
          <w:rFonts w:ascii="Times New Roman" w:hAnsi="Times New Roman" w:eastAsia="仿宋_GB2312" w:cs="Times New Roman"/>
          <w:color w:val="auto"/>
          <w:sz w:val="32"/>
          <w:szCs w:val="32"/>
        </w:rPr>
        <w:t>选取典型项目区进行水价测算。自</w:t>
      </w:r>
      <w:r>
        <w:rPr>
          <w:rFonts w:hint="eastAsia" w:ascii="Times New Roman" w:hAnsi="Times New Roman" w:eastAsia="仿宋_GB2312" w:cs="Times New Roman"/>
          <w:color w:val="auto"/>
          <w:sz w:val="32"/>
          <w:szCs w:val="32"/>
        </w:rPr>
        <w:t>流</w:t>
      </w:r>
      <w:r>
        <w:rPr>
          <w:rFonts w:ascii="Times New Roman" w:hAnsi="Times New Roman" w:eastAsia="仿宋_GB2312" w:cs="Times New Roman"/>
          <w:color w:val="auto"/>
          <w:sz w:val="32"/>
          <w:szCs w:val="32"/>
        </w:rPr>
        <w:t>灌区全成本水价0.59元/m</w:t>
      </w:r>
      <w:r>
        <w:rPr>
          <w:rFonts w:ascii="Times New Roman" w:hAnsi="Times New Roman" w:eastAsia="仿宋_GB2312" w:cs="Times New Roman"/>
          <w:color w:val="auto"/>
          <w:sz w:val="32"/>
          <w:szCs w:val="32"/>
          <w:vertAlign w:val="superscript"/>
        </w:rPr>
        <w:t>3</w:t>
      </w:r>
      <w:r>
        <w:rPr>
          <w:rFonts w:ascii="Times New Roman" w:hAnsi="Times New Roman" w:eastAsia="仿宋_GB2312" w:cs="Times New Roman"/>
          <w:color w:val="auto"/>
          <w:sz w:val="32"/>
          <w:szCs w:val="32"/>
        </w:rPr>
        <w:t>，运行维护成本水价0.25元/m</w:t>
      </w:r>
      <w:r>
        <w:rPr>
          <w:rFonts w:ascii="Times New Roman" w:hAnsi="Times New Roman" w:eastAsia="仿宋_GB2312" w:cs="Times New Roman"/>
          <w:color w:val="auto"/>
          <w:sz w:val="32"/>
          <w:szCs w:val="32"/>
          <w:vertAlign w:val="superscript"/>
        </w:rPr>
        <w:t>3</w:t>
      </w:r>
      <w:r>
        <w:rPr>
          <w:rFonts w:ascii="Times New Roman" w:hAnsi="Times New Roman" w:eastAsia="仿宋_GB2312" w:cs="Times New Roman"/>
          <w:color w:val="auto"/>
          <w:sz w:val="32"/>
          <w:szCs w:val="32"/>
        </w:rPr>
        <w:t>；提水灌区全成本水价0.97元/m</w:t>
      </w:r>
      <w:r>
        <w:rPr>
          <w:rFonts w:ascii="Times New Roman" w:hAnsi="Times New Roman" w:eastAsia="仿宋_GB2312" w:cs="Times New Roman"/>
          <w:color w:val="auto"/>
          <w:sz w:val="32"/>
          <w:szCs w:val="32"/>
          <w:vertAlign w:val="superscript"/>
        </w:rPr>
        <w:t>3</w:t>
      </w:r>
      <w:r>
        <w:rPr>
          <w:rFonts w:ascii="Times New Roman" w:hAnsi="Times New Roman" w:eastAsia="仿宋_GB2312" w:cs="Times New Roman"/>
          <w:color w:val="auto"/>
          <w:sz w:val="32"/>
          <w:szCs w:val="32"/>
        </w:rPr>
        <w:t>，运行维护成本水价0.60元/m</w:t>
      </w:r>
      <w:r>
        <w:rPr>
          <w:rFonts w:ascii="Times New Roman" w:hAnsi="Times New Roman" w:eastAsia="仿宋_GB2312" w:cs="Times New Roman"/>
          <w:color w:val="auto"/>
          <w:sz w:val="32"/>
          <w:szCs w:val="32"/>
          <w:vertAlign w:val="superscript"/>
        </w:rPr>
        <w:t>3</w:t>
      </w:r>
      <w:r>
        <w:rPr>
          <w:rFonts w:ascii="Times New Roman" w:hAnsi="Times New Roman" w:eastAsia="仿宋_GB2312" w:cs="Times New Roman"/>
          <w:color w:val="auto"/>
          <w:sz w:val="32"/>
          <w:szCs w:val="32"/>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Times New Roman" w:hAnsi="Times New Roman" w:eastAsia="仿宋_GB2312" w:cs="Times New Roman"/>
          <w:color w:val="auto"/>
          <w:sz w:val="32"/>
          <w:szCs w:val="32"/>
        </w:rPr>
      </w:pPr>
      <w:r>
        <w:rPr>
          <w:rFonts w:ascii="Times New Roman" w:hAnsi="Times New Roman" w:eastAsia="楷体_GB2312" w:cs="Times New Roman"/>
          <w:color w:val="auto"/>
          <w:sz w:val="32"/>
          <w:szCs w:val="32"/>
        </w:rPr>
        <w:t>3、执行价格：</w:t>
      </w:r>
      <w:r>
        <w:rPr>
          <w:rFonts w:ascii="Times New Roman" w:hAnsi="Times New Roman" w:eastAsia="仿宋_GB2312" w:cs="Times New Roman"/>
          <w:color w:val="auto"/>
          <w:sz w:val="32"/>
          <w:szCs w:val="32"/>
        </w:rPr>
        <w:t>综合多方面因素，决定执行运行维护成本水价。根据改革</w:t>
      </w:r>
      <w:r>
        <w:rPr>
          <w:rFonts w:hint="eastAsia" w:ascii="Times New Roman" w:hAnsi="Times New Roman" w:eastAsia="仿宋_GB2312" w:cs="Times New Roman"/>
          <w:color w:val="auto"/>
          <w:sz w:val="32"/>
          <w:szCs w:val="32"/>
        </w:rPr>
        <w:t>项目</w:t>
      </w:r>
      <w:r>
        <w:rPr>
          <w:rFonts w:ascii="Times New Roman" w:hAnsi="Times New Roman" w:eastAsia="仿宋_GB2312" w:cs="Times New Roman"/>
          <w:color w:val="auto"/>
          <w:sz w:val="32"/>
          <w:szCs w:val="32"/>
        </w:rPr>
        <w:t>区实际情况，以运行维护成本为基准，政府按照上浮20%制定指导的基本水价</w:t>
      </w:r>
      <w:r>
        <w:rPr>
          <w:rFonts w:hint="eastAsia" w:ascii="Times New Roman" w:hAnsi="Times New Roman" w:eastAsia="仿宋_GB2312" w:cs="Times New Roman"/>
          <w:color w:val="auto"/>
          <w:sz w:val="32"/>
          <w:szCs w:val="32"/>
        </w:rPr>
        <w:t>。</w:t>
      </w:r>
      <w:r>
        <w:rPr>
          <w:rFonts w:ascii="Times New Roman" w:hAnsi="Times New Roman" w:eastAsia="仿宋_GB2312" w:cs="Times New Roman"/>
          <w:color w:val="auto"/>
          <w:sz w:val="32"/>
          <w:szCs w:val="32"/>
        </w:rPr>
        <w:t>自</w:t>
      </w:r>
      <w:r>
        <w:rPr>
          <w:rFonts w:hint="eastAsia" w:ascii="Times New Roman" w:hAnsi="Times New Roman" w:eastAsia="仿宋_GB2312" w:cs="Times New Roman"/>
          <w:color w:val="auto"/>
          <w:sz w:val="32"/>
          <w:szCs w:val="32"/>
        </w:rPr>
        <w:t>流</w:t>
      </w:r>
      <w:r>
        <w:rPr>
          <w:rFonts w:ascii="Times New Roman" w:hAnsi="Times New Roman" w:eastAsia="仿宋_GB2312" w:cs="Times New Roman"/>
          <w:color w:val="auto"/>
          <w:sz w:val="32"/>
          <w:szCs w:val="32"/>
        </w:rPr>
        <w:t>灌区为0.25~0.3元/m</w:t>
      </w:r>
      <w:r>
        <w:rPr>
          <w:rFonts w:ascii="Times New Roman" w:hAnsi="Times New Roman" w:eastAsia="仿宋_GB2312" w:cs="Times New Roman"/>
          <w:color w:val="auto"/>
          <w:sz w:val="32"/>
          <w:szCs w:val="32"/>
          <w:vertAlign w:val="superscript"/>
        </w:rPr>
        <w:t>3</w:t>
      </w:r>
      <w:r>
        <w:rPr>
          <w:rFonts w:ascii="Times New Roman" w:hAnsi="Times New Roman" w:eastAsia="仿宋_GB2312" w:cs="Times New Roman"/>
          <w:color w:val="auto"/>
          <w:sz w:val="32"/>
          <w:szCs w:val="32"/>
        </w:rPr>
        <w:t>；提水灌区为0.6~0.72元/m</w:t>
      </w:r>
      <w:r>
        <w:rPr>
          <w:rFonts w:ascii="Times New Roman" w:hAnsi="Times New Roman" w:eastAsia="仿宋_GB2312" w:cs="Times New Roman"/>
          <w:color w:val="auto"/>
          <w:sz w:val="32"/>
          <w:szCs w:val="32"/>
          <w:vertAlign w:val="superscript"/>
        </w:rPr>
        <w:t>3</w:t>
      </w:r>
      <w:r>
        <w:rPr>
          <w:rFonts w:ascii="Times New Roman" w:hAnsi="Times New Roman" w:eastAsia="仿宋_GB2312" w:cs="Times New Roman"/>
          <w:color w:val="auto"/>
          <w:sz w:val="32"/>
          <w:szCs w:val="32"/>
        </w:rPr>
        <w:t>。执行的基本水价在政府指导价格范围内由各管水组织与用水户协商制定。</w:t>
      </w:r>
    </w:p>
    <w:p>
      <w:pPr>
        <w:keepNext w:val="0"/>
        <w:keepLines w:val="0"/>
        <w:pageBreakBefore w:val="0"/>
        <w:widowControl w:val="0"/>
        <w:kinsoku/>
        <w:wordWrap/>
        <w:overflowPunct/>
        <w:topLinePunct w:val="0"/>
        <w:autoSpaceDE/>
        <w:autoSpaceDN/>
        <w:bidi w:val="0"/>
        <w:adjustRightInd/>
        <w:snapToGrid/>
        <w:spacing w:line="600" w:lineRule="exact"/>
        <w:ind w:firstLine="640"/>
        <w:textAlignment w:val="auto"/>
        <w:rPr>
          <w:rFonts w:ascii="Times New Roman" w:hAnsi="Times New Roman" w:eastAsia="黑体" w:cs="Times New Roman"/>
          <w:color w:val="auto"/>
          <w:sz w:val="32"/>
          <w:szCs w:val="32"/>
        </w:rPr>
      </w:pPr>
      <w:r>
        <w:rPr>
          <w:rFonts w:ascii="Times New Roman" w:hAnsi="Times New Roman" w:eastAsia="黑体" w:cs="Times New Roman"/>
          <w:color w:val="auto"/>
          <w:sz w:val="32"/>
          <w:szCs w:val="32"/>
        </w:rPr>
        <w:t>二、水权交易</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当用水户用水量超过其水权时，超出部分在基本水价基础上按照0.05</w:t>
      </w:r>
      <w:r>
        <w:rPr>
          <w:rFonts w:hint="eastAsia" w:ascii="Times New Roman" w:hAnsi="Times New Roman" w:eastAsia="仿宋_GB2312" w:cs="Times New Roman"/>
          <w:color w:val="auto"/>
          <w:sz w:val="32"/>
          <w:szCs w:val="32"/>
        </w:rPr>
        <w:t>~</w:t>
      </w:r>
      <w:r>
        <w:rPr>
          <w:rFonts w:ascii="Times New Roman" w:hAnsi="Times New Roman" w:eastAsia="仿宋_GB2312" w:cs="Times New Roman"/>
          <w:color w:val="auto"/>
          <w:sz w:val="32"/>
          <w:szCs w:val="32"/>
        </w:rPr>
        <w:t>0.25元/m</w:t>
      </w:r>
      <w:r>
        <w:rPr>
          <w:rFonts w:ascii="Times New Roman" w:hAnsi="Times New Roman" w:eastAsia="仿宋_GB2312" w:cs="Times New Roman"/>
          <w:color w:val="auto"/>
          <w:sz w:val="32"/>
          <w:szCs w:val="32"/>
          <w:vertAlign w:val="superscript"/>
        </w:rPr>
        <w:t>3</w:t>
      </w:r>
      <w:r>
        <w:rPr>
          <w:rFonts w:ascii="Times New Roman" w:hAnsi="Times New Roman" w:eastAsia="仿宋_GB2312" w:cs="Times New Roman"/>
          <w:color w:val="auto"/>
          <w:sz w:val="32"/>
          <w:szCs w:val="32"/>
        </w:rPr>
        <w:t>收取水权交易费，具体交易价格在政府指导价格范围内由各管水组织确定。</w:t>
      </w:r>
    </w:p>
    <w:p>
      <w:pPr>
        <w:keepNext w:val="0"/>
        <w:keepLines w:val="0"/>
        <w:pageBreakBefore w:val="0"/>
        <w:widowControl w:val="0"/>
        <w:kinsoku/>
        <w:wordWrap/>
        <w:overflowPunct/>
        <w:topLinePunct w:val="0"/>
        <w:autoSpaceDE/>
        <w:autoSpaceDN/>
        <w:bidi w:val="0"/>
        <w:adjustRightInd/>
        <w:snapToGrid/>
        <w:spacing w:line="600" w:lineRule="exact"/>
        <w:ind w:firstLine="640"/>
        <w:textAlignment w:val="auto"/>
        <w:rPr>
          <w:rFonts w:ascii="Times New Roman" w:hAnsi="Times New Roman" w:eastAsia="黑体" w:cs="Times New Roman"/>
          <w:color w:val="auto"/>
          <w:sz w:val="32"/>
          <w:szCs w:val="32"/>
        </w:rPr>
      </w:pPr>
      <w:r>
        <w:rPr>
          <w:rFonts w:ascii="Times New Roman" w:hAnsi="Times New Roman" w:eastAsia="黑体" w:cs="Times New Roman"/>
          <w:color w:val="auto"/>
          <w:sz w:val="32"/>
          <w:szCs w:val="32"/>
        </w:rPr>
        <w:t>三、超定额累进加价</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依据《山东省水资源综合规划》、《山东省主要农作物灌溉定额（DB37/T-2015）》等成果，统一确定全区农田灌溉定额。种植种类按小麦+花生套种核定为217m</w:t>
      </w:r>
      <w:r>
        <w:rPr>
          <w:rFonts w:ascii="Times New Roman" w:hAnsi="Times New Roman" w:eastAsia="仿宋_GB2312" w:cs="Times New Roman"/>
          <w:color w:val="auto"/>
          <w:sz w:val="32"/>
          <w:szCs w:val="32"/>
          <w:vertAlign w:val="superscript"/>
        </w:rPr>
        <w:t>3</w:t>
      </w:r>
      <w:r>
        <w:rPr>
          <w:rFonts w:ascii="Times New Roman" w:hAnsi="Times New Roman" w:eastAsia="仿宋_GB2312" w:cs="Times New Roman"/>
          <w:color w:val="auto"/>
          <w:sz w:val="32"/>
          <w:szCs w:val="32"/>
        </w:rPr>
        <w:t>/亩</w:t>
      </w:r>
      <w:r>
        <w:rPr>
          <w:rFonts w:hint="eastAsia" w:ascii="Times New Roman" w:hAnsi="Times New Roman" w:eastAsia="仿宋_GB2312" w:cs="Times New Roman"/>
          <w:color w:val="auto"/>
          <w:sz w:val="32"/>
          <w:szCs w:val="32"/>
        </w:rPr>
        <w:t>；</w:t>
      </w:r>
      <w:r>
        <w:rPr>
          <w:rFonts w:ascii="Times New Roman" w:hAnsi="Times New Roman" w:eastAsia="仿宋_GB2312" w:cs="Times New Roman"/>
          <w:color w:val="auto"/>
          <w:sz w:val="32"/>
          <w:szCs w:val="32"/>
        </w:rPr>
        <w:t>种植种类按苹果、梨单做核定，分别为285m</w:t>
      </w:r>
      <w:r>
        <w:rPr>
          <w:rFonts w:ascii="Times New Roman" w:hAnsi="Times New Roman" w:eastAsia="仿宋_GB2312" w:cs="Times New Roman"/>
          <w:color w:val="auto"/>
          <w:sz w:val="32"/>
          <w:szCs w:val="32"/>
          <w:vertAlign w:val="superscript"/>
        </w:rPr>
        <w:t>3</w:t>
      </w:r>
      <w:r>
        <w:rPr>
          <w:rFonts w:ascii="Times New Roman" w:hAnsi="Times New Roman" w:eastAsia="仿宋_GB2312" w:cs="Times New Roman"/>
          <w:color w:val="auto"/>
          <w:sz w:val="32"/>
          <w:szCs w:val="32"/>
        </w:rPr>
        <w:t>/亩、257m</w:t>
      </w:r>
      <w:r>
        <w:rPr>
          <w:rFonts w:ascii="Times New Roman" w:hAnsi="Times New Roman" w:eastAsia="仿宋_GB2312" w:cs="Times New Roman"/>
          <w:color w:val="auto"/>
          <w:sz w:val="32"/>
          <w:szCs w:val="32"/>
          <w:vertAlign w:val="superscript"/>
        </w:rPr>
        <w:t>3</w:t>
      </w:r>
      <w:r>
        <w:rPr>
          <w:rFonts w:ascii="Times New Roman" w:hAnsi="Times New Roman" w:eastAsia="仿宋_GB2312" w:cs="Times New Roman"/>
          <w:color w:val="auto"/>
          <w:sz w:val="32"/>
          <w:szCs w:val="32"/>
        </w:rPr>
        <w:t xml:space="preserve">/亩。定额内农业用水，按正常水价收取水费；超定额20%（含）以内部分，按照1.3倍水价征收；超定额20%~50%（含）部分，按照1.6倍水价征收；超定额50%以上部分，按照2.5倍水价征收。 </w:t>
      </w:r>
    </w:p>
    <w:p>
      <w:pPr>
        <w:keepNext w:val="0"/>
        <w:keepLines w:val="0"/>
        <w:pageBreakBefore w:val="0"/>
        <w:widowControl w:val="0"/>
        <w:kinsoku/>
        <w:wordWrap/>
        <w:overflowPunct/>
        <w:topLinePunct w:val="0"/>
        <w:autoSpaceDE/>
        <w:autoSpaceDN/>
        <w:bidi w:val="0"/>
        <w:adjustRightInd/>
        <w:snapToGrid/>
        <w:spacing w:line="600" w:lineRule="exact"/>
        <w:ind w:firstLine="640"/>
        <w:textAlignment w:val="auto"/>
        <w:rPr>
          <w:rFonts w:ascii="Times New Roman" w:hAnsi="Times New Roman" w:eastAsia="黑体" w:cs="Times New Roman"/>
          <w:color w:val="auto"/>
          <w:sz w:val="32"/>
          <w:szCs w:val="32"/>
        </w:rPr>
      </w:pPr>
      <w:r>
        <w:rPr>
          <w:rFonts w:ascii="Times New Roman" w:hAnsi="Times New Roman" w:eastAsia="黑体" w:cs="Times New Roman"/>
          <w:color w:val="auto"/>
          <w:sz w:val="32"/>
          <w:szCs w:val="32"/>
        </w:rPr>
        <w:t>四、其它规定</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1、加强计量水价价格公示制度，要充分利用公示栏等向用水户公示用水量及水价情况，增加农业水价征收的透明度，接受用水户的监督。</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2、接受水行政主管部门的监督和管理，建立农业水费资金专户，确保专款专用。</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3、水权交易费、超定额累进加价收费可用于管理费、农业用水精准补贴、节水奖励、工程维修养护等支出。</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val="en-US" w:eastAsia="zh-CN"/>
        </w:rPr>
      </w:pPr>
      <w:r>
        <w:rPr>
          <w:rFonts w:ascii="Times New Roman" w:hAnsi="Times New Roman" w:eastAsia="仿宋_GB2312" w:cs="Times New Roman"/>
          <w:color w:val="auto"/>
          <w:sz w:val="32"/>
          <w:szCs w:val="32"/>
        </w:rPr>
        <w:t>4、本通知自</w:t>
      </w:r>
      <w:r>
        <w:rPr>
          <w:rFonts w:hint="eastAsia" w:ascii="Times New Roman" w:hAnsi="Times New Roman" w:eastAsia="仿宋_GB2312" w:cs="Times New Roman"/>
          <w:color w:val="auto"/>
          <w:sz w:val="32"/>
          <w:szCs w:val="32"/>
        </w:rPr>
        <w:t>印发之日</w:t>
      </w:r>
      <w:r>
        <w:rPr>
          <w:rFonts w:ascii="Times New Roman" w:hAnsi="Times New Roman" w:eastAsia="仿宋_GB2312" w:cs="Times New Roman"/>
          <w:color w:val="auto"/>
          <w:sz w:val="32"/>
          <w:szCs w:val="32"/>
        </w:rPr>
        <w:t>起执行</w:t>
      </w:r>
      <w:r>
        <w:rPr>
          <w:rFonts w:hint="eastAsia" w:ascii="Times New Roman" w:hAnsi="Times New Roman" w:eastAsia="仿宋_GB2312" w:cs="Times New Roman"/>
          <w:color w:val="auto"/>
          <w:sz w:val="32"/>
          <w:szCs w:val="32"/>
          <w:lang w:eastAsia="zh-CN"/>
        </w:rPr>
        <w:t>，有效期至</w:t>
      </w:r>
      <w:r>
        <w:rPr>
          <w:rFonts w:hint="eastAsia" w:ascii="Times New Roman" w:hAnsi="Times New Roman" w:eastAsia="仿宋_GB2312" w:cs="Times New Roman"/>
          <w:color w:val="auto"/>
          <w:sz w:val="32"/>
          <w:szCs w:val="32"/>
          <w:lang w:val="en-US" w:eastAsia="zh-CN"/>
        </w:rPr>
        <w:t>2025年12月31日。</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Times New Roman" w:hAnsi="Times New Roman" w:eastAsia="仿宋_GB2312" w:cs="Times New Roman"/>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1600" w:firstLineChars="50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威海市环翠区发展和改革局 威海市环翠区水利局</w:t>
      </w:r>
    </w:p>
    <w:p>
      <w:pPr>
        <w:keepNext w:val="0"/>
        <w:keepLines w:val="0"/>
        <w:pageBreakBefore w:val="0"/>
        <w:widowControl w:val="0"/>
        <w:kinsoku/>
        <w:wordWrap/>
        <w:overflowPunct/>
        <w:topLinePunct w:val="0"/>
        <w:autoSpaceDE/>
        <w:autoSpaceDN/>
        <w:bidi w:val="0"/>
        <w:adjustRightInd/>
        <w:snapToGrid/>
        <w:spacing w:line="600" w:lineRule="exact"/>
        <w:ind w:firstLine="5760" w:firstLineChars="1800"/>
        <w:textAlignment w:val="auto"/>
        <w:rPr>
          <w:rFonts w:hint="eastAsia"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 xml:space="preserve">2022年7月22日  </w:t>
      </w:r>
    </w:p>
    <w:p>
      <w:pPr>
        <w:keepNext w:val="0"/>
        <w:keepLines w:val="0"/>
        <w:pageBreakBefore w:val="0"/>
        <w:widowControl w:val="0"/>
        <w:kinsoku/>
        <w:wordWrap/>
        <w:overflowPunct/>
        <w:topLinePunct w:val="0"/>
        <w:autoSpaceDE/>
        <w:autoSpaceDN/>
        <w:bidi w:val="0"/>
        <w:adjustRightInd/>
        <w:snapToGrid/>
        <w:spacing w:line="600" w:lineRule="exact"/>
        <w:ind w:firstLine="5760" w:firstLineChars="1800"/>
        <w:textAlignment w:val="auto"/>
        <w:rPr>
          <w:rFonts w:hint="eastAsia" w:ascii="Times New Roman" w:hAnsi="Times New Roman" w:eastAsia="仿宋_GB2312" w:cs="Times New Roman"/>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5760" w:firstLineChars="1800"/>
        <w:textAlignment w:val="auto"/>
        <w:rPr>
          <w:rFonts w:hint="eastAsia" w:ascii="Times New Roman" w:hAnsi="Times New Roman" w:eastAsia="仿宋_GB2312" w:cs="Times New Roman"/>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5760" w:firstLineChars="1800"/>
        <w:textAlignment w:val="auto"/>
        <w:rPr>
          <w:rFonts w:hint="eastAsia" w:ascii="Times New Roman" w:hAnsi="Times New Roman" w:eastAsia="仿宋_GB2312" w:cs="Times New Roman"/>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5760" w:firstLineChars="1800"/>
        <w:textAlignment w:val="auto"/>
        <w:rPr>
          <w:rFonts w:hint="eastAsia" w:ascii="Times New Roman" w:hAnsi="Times New Roman" w:eastAsia="仿宋_GB2312" w:cs="Times New Roman"/>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5760" w:firstLineChars="1800"/>
        <w:textAlignment w:val="auto"/>
        <w:rPr>
          <w:rFonts w:hint="eastAsia" w:ascii="Times New Roman" w:hAnsi="Times New Roman" w:eastAsia="仿宋_GB2312" w:cs="Times New Roman"/>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5760" w:firstLineChars="1800"/>
        <w:textAlignment w:val="auto"/>
        <w:rPr>
          <w:rFonts w:hint="eastAsia" w:ascii="Times New Roman" w:hAnsi="Times New Roman" w:eastAsia="仿宋_GB2312" w:cs="Times New Roman"/>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5760" w:firstLineChars="1800"/>
        <w:textAlignment w:val="auto"/>
        <w:rPr>
          <w:rFonts w:hint="eastAsia" w:ascii="Times New Roman" w:hAnsi="Times New Roman" w:eastAsia="仿宋_GB2312" w:cs="Times New Roman"/>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5760" w:firstLineChars="1800"/>
        <w:textAlignment w:val="auto"/>
        <w:rPr>
          <w:rFonts w:hint="eastAsia" w:ascii="Times New Roman" w:hAnsi="Times New Roman" w:eastAsia="仿宋_GB2312" w:cs="Times New Roman"/>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5760" w:firstLineChars="1800"/>
        <w:textAlignment w:val="auto"/>
        <w:rPr>
          <w:rFonts w:hint="eastAsia" w:ascii="Times New Roman" w:hAnsi="Times New Roman" w:eastAsia="仿宋_GB2312" w:cs="Times New Roman"/>
          <w:color w:val="auto"/>
          <w:sz w:val="32"/>
          <w:szCs w:val="32"/>
          <w:lang w:val="en-US" w:eastAsia="zh-CN"/>
        </w:rPr>
      </w:pPr>
    </w:p>
    <w:p>
      <w:pPr>
        <w:tabs>
          <w:tab w:val="left" w:pos="8640"/>
        </w:tabs>
        <w:adjustRightInd w:val="0"/>
        <w:snapToGrid w:val="0"/>
        <w:spacing w:line="360" w:lineRule="auto"/>
        <w:ind w:firstLine="5440" w:firstLineChars="1700"/>
        <w:rPr>
          <w:rFonts w:hint="eastAsia" w:ascii="仿宋" w:hAnsi="仿宋" w:eastAsia="仿宋"/>
          <w:color w:val="0000FF"/>
          <w:sz w:val="32"/>
          <w:szCs w:val="32"/>
        </w:rPr>
      </w:pPr>
    </w:p>
    <w:p>
      <w:pPr>
        <w:pBdr>
          <w:top w:val="single" w:color="auto" w:sz="12" w:space="1"/>
          <w:bottom w:val="single" w:color="auto" w:sz="12" w:space="1"/>
        </w:pBdr>
        <w:adjustRightInd w:val="0"/>
        <w:snapToGrid w:val="0"/>
        <w:spacing w:line="360" w:lineRule="auto"/>
        <w:rPr>
          <w:rFonts w:hint="default" w:ascii="Times New Roman" w:hAnsi="Times New Roman" w:eastAsia="仿宋_GB2312" w:cs="Times New Roman"/>
          <w:color w:val="auto"/>
          <w:sz w:val="32"/>
          <w:szCs w:val="32"/>
          <w:lang w:val="en-US" w:eastAsia="zh-CN"/>
        </w:rPr>
      </w:pPr>
      <w:r>
        <w:rPr>
          <w:rFonts w:hint="eastAsia" w:ascii="仿宋" w:hAnsi="仿宋" w:eastAsia="仿宋"/>
          <w:color w:val="auto"/>
          <w:sz w:val="32"/>
          <w:szCs w:val="32"/>
        </w:rPr>
        <w:t>威海市环翠区</w:t>
      </w:r>
      <w:r>
        <w:rPr>
          <w:rFonts w:hint="eastAsia" w:ascii="仿宋" w:hAnsi="仿宋" w:eastAsia="仿宋"/>
          <w:color w:val="auto"/>
          <w:sz w:val="32"/>
          <w:szCs w:val="32"/>
          <w:lang w:eastAsia="zh-CN"/>
        </w:rPr>
        <w:t>发展和改革</w:t>
      </w:r>
      <w:r>
        <w:rPr>
          <w:rFonts w:hint="eastAsia" w:ascii="仿宋" w:hAnsi="仿宋" w:eastAsia="仿宋"/>
          <w:color w:val="auto"/>
          <w:sz w:val="32"/>
          <w:szCs w:val="32"/>
        </w:rPr>
        <w:t xml:space="preserve">局   </w:t>
      </w:r>
      <w:r>
        <w:rPr>
          <w:rFonts w:hint="eastAsia" w:ascii="仿宋_GB2312" w:hAnsi="新宋体" w:eastAsia="仿宋_GB2312"/>
          <w:color w:val="auto"/>
          <w:sz w:val="32"/>
          <w:szCs w:val="32"/>
        </w:rPr>
        <w:t xml:space="preserve">   </w:t>
      </w:r>
      <w:r>
        <w:rPr>
          <w:rFonts w:hint="eastAsia" w:ascii="仿宋" w:hAnsi="仿宋" w:eastAsia="仿宋"/>
          <w:color w:val="auto"/>
          <w:sz w:val="32"/>
          <w:szCs w:val="32"/>
        </w:rPr>
        <w:t xml:space="preserve">    20</w:t>
      </w:r>
      <w:r>
        <w:rPr>
          <w:rFonts w:hint="eastAsia" w:ascii="仿宋" w:hAnsi="仿宋" w:eastAsia="仿宋"/>
          <w:color w:val="auto"/>
          <w:sz w:val="32"/>
          <w:szCs w:val="32"/>
          <w:lang w:val="en-US" w:eastAsia="zh-CN"/>
        </w:rPr>
        <w:t>22</w:t>
      </w:r>
      <w:r>
        <w:rPr>
          <w:rFonts w:hint="eastAsia" w:ascii="仿宋" w:hAnsi="仿宋" w:eastAsia="仿宋"/>
          <w:color w:val="auto"/>
          <w:sz w:val="32"/>
          <w:szCs w:val="32"/>
        </w:rPr>
        <w:t>年</w:t>
      </w:r>
      <w:r>
        <w:rPr>
          <w:rFonts w:hint="eastAsia" w:ascii="仿宋" w:hAnsi="仿宋" w:eastAsia="仿宋"/>
          <w:color w:val="auto"/>
          <w:sz w:val="32"/>
          <w:szCs w:val="32"/>
          <w:lang w:val="en-US" w:eastAsia="zh-CN"/>
        </w:rPr>
        <w:t>7</w:t>
      </w:r>
      <w:r>
        <w:rPr>
          <w:rFonts w:hint="eastAsia" w:ascii="仿宋" w:hAnsi="仿宋" w:eastAsia="仿宋"/>
          <w:color w:val="auto"/>
          <w:sz w:val="32"/>
          <w:szCs w:val="32"/>
        </w:rPr>
        <w:t>月</w:t>
      </w:r>
      <w:r>
        <w:rPr>
          <w:rFonts w:hint="eastAsia" w:ascii="仿宋" w:hAnsi="仿宋" w:eastAsia="仿宋"/>
          <w:color w:val="auto"/>
          <w:sz w:val="32"/>
          <w:szCs w:val="32"/>
          <w:lang w:val="en-US" w:eastAsia="zh-CN"/>
        </w:rPr>
        <w:t>22</w:t>
      </w:r>
      <w:r>
        <w:rPr>
          <w:rFonts w:hint="eastAsia" w:ascii="仿宋" w:hAnsi="仿宋" w:eastAsia="仿宋"/>
          <w:color w:val="auto"/>
          <w:sz w:val="32"/>
          <w:szCs w:val="32"/>
        </w:rPr>
        <w:t>日印发</w:t>
      </w:r>
    </w:p>
    <w:sectPr>
      <w:pgSz w:w="11906" w:h="16838"/>
      <w:pgMar w:top="1417" w:right="1701" w:bottom="1417"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文星简小标宋">
    <w:panose1 w:val="02010609000101010101"/>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6BE6"/>
    <w:rsid w:val="00041C37"/>
    <w:rsid w:val="00055F3A"/>
    <w:rsid w:val="000F7896"/>
    <w:rsid w:val="001148CA"/>
    <w:rsid w:val="001257DE"/>
    <w:rsid w:val="00186034"/>
    <w:rsid w:val="00193440"/>
    <w:rsid w:val="001D2B5C"/>
    <w:rsid w:val="002A48C9"/>
    <w:rsid w:val="00344D01"/>
    <w:rsid w:val="00352E71"/>
    <w:rsid w:val="00384470"/>
    <w:rsid w:val="003F34F8"/>
    <w:rsid w:val="00454FBD"/>
    <w:rsid w:val="004B55B1"/>
    <w:rsid w:val="004D5A3B"/>
    <w:rsid w:val="00506BE6"/>
    <w:rsid w:val="00522A86"/>
    <w:rsid w:val="00543C13"/>
    <w:rsid w:val="00581130"/>
    <w:rsid w:val="005B54AF"/>
    <w:rsid w:val="005F1D75"/>
    <w:rsid w:val="00642BB8"/>
    <w:rsid w:val="00680C8A"/>
    <w:rsid w:val="0074073C"/>
    <w:rsid w:val="0082091A"/>
    <w:rsid w:val="00852917"/>
    <w:rsid w:val="00853406"/>
    <w:rsid w:val="009D7A37"/>
    <w:rsid w:val="009E772C"/>
    <w:rsid w:val="00A151BE"/>
    <w:rsid w:val="00A26839"/>
    <w:rsid w:val="00A446E2"/>
    <w:rsid w:val="00A90768"/>
    <w:rsid w:val="00A93518"/>
    <w:rsid w:val="00A97CA7"/>
    <w:rsid w:val="00AB634F"/>
    <w:rsid w:val="00AE59CF"/>
    <w:rsid w:val="00B306B9"/>
    <w:rsid w:val="00B47A29"/>
    <w:rsid w:val="00BB0E90"/>
    <w:rsid w:val="00C219B6"/>
    <w:rsid w:val="00C515C0"/>
    <w:rsid w:val="00CC6701"/>
    <w:rsid w:val="00CF56A2"/>
    <w:rsid w:val="00D03AFA"/>
    <w:rsid w:val="00D150BD"/>
    <w:rsid w:val="00D32E04"/>
    <w:rsid w:val="00E04E00"/>
    <w:rsid w:val="00FE1DF2"/>
    <w:rsid w:val="00FE27D3"/>
    <w:rsid w:val="00FE4DE2"/>
    <w:rsid w:val="023A7079"/>
    <w:rsid w:val="0A8235E4"/>
    <w:rsid w:val="11C40045"/>
    <w:rsid w:val="161261DB"/>
    <w:rsid w:val="236146BC"/>
    <w:rsid w:val="26195506"/>
    <w:rsid w:val="2B6B2F3B"/>
    <w:rsid w:val="2B78320D"/>
    <w:rsid w:val="34026F96"/>
    <w:rsid w:val="46736AAA"/>
    <w:rsid w:val="473A797D"/>
    <w:rsid w:val="491E42FF"/>
    <w:rsid w:val="49635A75"/>
    <w:rsid w:val="4D4E003D"/>
    <w:rsid w:val="4FB404DA"/>
    <w:rsid w:val="542A21A3"/>
    <w:rsid w:val="5844390F"/>
    <w:rsid w:val="5A972D16"/>
    <w:rsid w:val="5B441473"/>
    <w:rsid w:val="614F09EE"/>
    <w:rsid w:val="619725DE"/>
    <w:rsid w:val="687B1DB5"/>
    <w:rsid w:val="6DB5069C"/>
    <w:rsid w:val="72355467"/>
    <w:rsid w:val="724F0F35"/>
    <w:rsid w:val="7FD475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Plain Text"/>
    <w:basedOn w:val="1"/>
    <w:qFormat/>
    <w:uiPriority w:val="0"/>
    <w:pPr>
      <w:adjustRightInd w:val="0"/>
      <w:spacing w:line="312" w:lineRule="atLeast"/>
    </w:pPr>
    <w:rPr>
      <w:rFonts w:hint="eastAsia" w:ascii="宋体" w:hAnsi="Courier New"/>
      <w:kern w:val="0"/>
      <w:szCs w:val="20"/>
    </w:rPr>
  </w:style>
  <w:style w:type="paragraph" w:styleId="3">
    <w:name w:val="footer"/>
    <w:basedOn w:val="1"/>
    <w:link w:val="8"/>
    <w:qFormat/>
    <w:uiPriority w:val="0"/>
    <w:pPr>
      <w:tabs>
        <w:tab w:val="center" w:pos="4153"/>
        <w:tab w:val="right" w:pos="8306"/>
      </w:tabs>
      <w:snapToGrid w:val="0"/>
      <w:jc w:val="left"/>
    </w:pPr>
    <w:rPr>
      <w:sz w:val="18"/>
      <w:szCs w:val="18"/>
    </w:rPr>
  </w:style>
  <w:style w:type="paragraph" w:styleId="4">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0"/>
    <w:rPr>
      <w:kern w:val="2"/>
      <w:sz w:val="18"/>
      <w:szCs w:val="18"/>
    </w:rPr>
  </w:style>
  <w:style w:type="character" w:customStyle="1" w:styleId="8">
    <w:name w:val="页脚 Char"/>
    <w:basedOn w:val="6"/>
    <w:link w:val="3"/>
    <w:qFormat/>
    <w:uiPriority w:val="0"/>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4EA3D5B-FCEC-4933-A9F6-9FF9F4692703}">
  <ds:schemaRefs/>
</ds:datastoreItem>
</file>

<file path=docProps/app.xml><?xml version="1.0" encoding="utf-8"?>
<Properties xmlns="http://schemas.openxmlformats.org/officeDocument/2006/extended-properties" xmlns:vt="http://schemas.openxmlformats.org/officeDocument/2006/docPropsVTypes">
  <Template>Normal</Template>
  <Pages>3</Pages>
  <Words>154</Words>
  <Characters>882</Characters>
  <Lines>7</Lines>
  <Paragraphs>2</Paragraphs>
  <TotalTime>13</TotalTime>
  <ScaleCrop>false</ScaleCrop>
  <LinksUpToDate>false</LinksUpToDate>
  <CharactersWithSpaces>1034</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2019-01-03T07:45:00Z</dcterms:created>
  <dc:creator>Administrator</dc:creator>
  <cp:lastModifiedBy>邢春蕾</cp:lastModifiedBy>
  <cp:lastPrinted>2022-10-14T02:47:07Z</cp:lastPrinted>
  <dcterms:modified xsi:type="dcterms:W3CDTF">2022-10-14T02:57:09Z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