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FD2D5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文星简小标宋" w:hAnsi="文星简小标宋" w:eastAsia="文星简小标宋" w:cs="文星简小标宋"/>
          <w:b w:val="0"/>
          <w:bCs/>
          <w:i w:val="0"/>
          <w:caps w:val="0"/>
          <w:color w:val="333333"/>
          <w:spacing w:val="0"/>
          <w:sz w:val="44"/>
          <w:szCs w:val="44"/>
          <w:shd w:val="clear" w:fill="FFFFFF"/>
          <w:lang w:eastAsia="zh-CN"/>
        </w:rPr>
      </w:pPr>
    </w:p>
    <w:p w14:paraId="4A3C697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pPr>
      <w:r>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t>威海市环翠区人民政府办公室</w:t>
      </w:r>
    </w:p>
    <w:p w14:paraId="4D57D6D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文星简小标宋" w:hAnsi="文星简小标宋" w:eastAsia="文星简小标宋" w:cs="文星简小标宋"/>
          <w:b w:val="0"/>
          <w:bCs/>
          <w:i w:val="0"/>
          <w:caps w:val="0"/>
          <w:color w:val="333333"/>
          <w:spacing w:val="0"/>
          <w:sz w:val="44"/>
          <w:szCs w:val="44"/>
          <w:lang w:val="en-US" w:eastAsia="zh-CN"/>
        </w:rPr>
      </w:pPr>
      <w:r>
        <w:rPr>
          <w:rFonts w:hint="eastAsia" w:ascii="文星简小标宋" w:hAnsi="文星简小标宋" w:eastAsia="文星简小标宋" w:cs="文星简小标宋"/>
          <w:b w:val="0"/>
          <w:bCs/>
          <w:i w:val="0"/>
          <w:caps w:val="0"/>
          <w:color w:val="333333"/>
          <w:spacing w:val="-17"/>
          <w:sz w:val="44"/>
          <w:szCs w:val="44"/>
          <w:shd w:val="clear" w:fill="FFFFFF"/>
          <w:lang w:val="en-US" w:eastAsia="zh-CN"/>
        </w:rPr>
        <w:t>2024年</w:t>
      </w:r>
      <w:r>
        <w:rPr>
          <w:rFonts w:hint="eastAsia" w:ascii="文星简小标宋" w:hAnsi="文星简小标宋" w:eastAsia="文星简小标宋" w:cs="文星简小标宋"/>
          <w:b w:val="0"/>
          <w:bCs/>
          <w:i w:val="0"/>
          <w:caps w:val="0"/>
          <w:color w:val="333333"/>
          <w:spacing w:val="-17"/>
          <w:sz w:val="44"/>
          <w:szCs w:val="44"/>
          <w:shd w:val="clear" w:fill="FFFFFF"/>
        </w:rPr>
        <w:t>政府信息公开工作</w:t>
      </w:r>
      <w:r>
        <w:rPr>
          <w:rFonts w:hint="eastAsia" w:ascii="文星简小标宋" w:hAnsi="文星简小标宋" w:eastAsia="文星简小标宋" w:cs="文星简小标宋"/>
          <w:b w:val="0"/>
          <w:bCs/>
          <w:i w:val="0"/>
          <w:caps w:val="0"/>
          <w:color w:val="333333"/>
          <w:spacing w:val="0"/>
          <w:sz w:val="44"/>
          <w:szCs w:val="44"/>
          <w:shd w:val="clear" w:fill="FFFFFF"/>
        </w:rPr>
        <w:t>年度报告</w:t>
      </w:r>
    </w:p>
    <w:p w14:paraId="25475B8D">
      <w:pPr>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14:paraId="011453E1">
      <w:pPr>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威海市环翠区人民政府办公室</w:t>
      </w:r>
      <w:r>
        <w:rPr>
          <w:rFonts w:hint="default" w:ascii="Times New Roman" w:hAnsi="Times New Roman" w:eastAsia="仿宋_GB2312" w:cs="Times New Roman"/>
          <w:color w:val="auto"/>
          <w:sz w:val="32"/>
          <w:szCs w:val="32"/>
        </w:rPr>
        <w:t>政府信息公开工作实际，编制发布本报告。</w:t>
      </w:r>
    </w:p>
    <w:p w14:paraId="648D8656">
      <w:pPr>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威海市环翠区人民政府办公室</w:t>
      </w:r>
      <w:r>
        <w:rPr>
          <w:rFonts w:hint="default" w:ascii="Times New Roman" w:hAnsi="Times New Roman" w:eastAsia="仿宋_GB2312" w:cs="Times New Roman"/>
          <w:color w:val="auto"/>
          <w:sz w:val="32"/>
          <w:szCs w:val="32"/>
        </w:rPr>
        <w:t>网站（</w:t>
      </w:r>
      <w:r>
        <w:rPr>
          <w:rFonts w:hint="eastAsia" w:ascii="Times New Roman" w:hAnsi="Times New Roman" w:eastAsia="仿宋_GB2312" w:cs="Times New Roman"/>
          <w:color w:val="auto"/>
          <w:sz w:val="32"/>
          <w:szCs w:val="32"/>
          <w:u w:val="none"/>
          <w:lang w:val="en-US" w:eastAsia="zh-CN"/>
        </w:rPr>
        <w:t>网址：http://www.huancui.gov.cn/col/col42981/index.html</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val="en-US" w:eastAsia="zh-CN"/>
        </w:rPr>
        <w:t>威海市环翠区人民政府办公室</w:t>
      </w:r>
      <w:r>
        <w:rPr>
          <w:rFonts w:hint="default" w:ascii="Times New Roman" w:hAnsi="Times New Roman" w:eastAsia="仿宋_GB2312" w:cs="Times New Roman"/>
          <w:color w:val="auto"/>
          <w:sz w:val="32"/>
          <w:szCs w:val="32"/>
        </w:rPr>
        <w:t>联系（地址：</w:t>
      </w:r>
      <w:r>
        <w:rPr>
          <w:rFonts w:hint="eastAsia" w:ascii="Times New Roman" w:hAnsi="Times New Roman" w:eastAsia="仿宋_GB2312" w:cs="Times New Roman"/>
          <w:color w:val="auto"/>
          <w:sz w:val="32"/>
          <w:szCs w:val="32"/>
          <w:u w:val="none"/>
          <w:lang w:val="en-US" w:eastAsia="zh-CN"/>
        </w:rPr>
        <w:t>威海市新威路75号</w:t>
      </w:r>
      <w:r>
        <w:rPr>
          <w:rFonts w:hint="default" w:ascii="Times New Roman" w:hAnsi="Times New Roman" w:eastAsia="仿宋_GB2312" w:cs="Times New Roman"/>
          <w:color w:val="auto"/>
          <w:sz w:val="32"/>
          <w:szCs w:val="32"/>
        </w:rPr>
        <w:t>，电话：</w:t>
      </w:r>
      <w:r>
        <w:rPr>
          <w:rFonts w:hint="eastAsia" w:ascii="Times New Roman" w:hAnsi="Times New Roman" w:eastAsia="仿宋_GB2312" w:cs="Times New Roman"/>
          <w:color w:val="auto"/>
          <w:sz w:val="32"/>
          <w:szCs w:val="32"/>
          <w:u w:val="none"/>
          <w:lang w:val="en-US" w:eastAsia="zh-CN"/>
        </w:rPr>
        <w:t>0631-5208761</w:t>
      </w:r>
      <w:r>
        <w:rPr>
          <w:rFonts w:hint="default" w:ascii="Times New Roman" w:hAnsi="Times New Roman" w:eastAsia="仿宋_GB2312" w:cs="Times New Roman"/>
          <w:color w:val="auto"/>
          <w:sz w:val="32"/>
          <w:szCs w:val="32"/>
        </w:rPr>
        <w:t>）。</w:t>
      </w:r>
    </w:p>
    <w:p w14:paraId="74A6B37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14:paraId="74EDFF60">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eastAsia" w:ascii="Times New Roman" w:hAnsi="Times New Roman" w:eastAsia="仿宋_GB2312" w:cs="Times New Roman"/>
          <w:b w:val="0"/>
          <w:bCs/>
          <w:sz w:val="32"/>
          <w:szCs w:val="32"/>
          <w:lang w:val="en-US" w:eastAsia="zh-CN"/>
        </w:rPr>
        <w:t>2024年，环翠区人民政府办公室严格按照中央、省、市的安排部署，坚持高位谋划、创新先行、标准引领，持续优化工作流程，夯实政务公开基础，构建透明高效、便民惠企的政务公开体系，从涉及群众切身利益的实际问题入手，聚焦群众最关心、反映最强烈的热点问题，政务公开工作规范化水平不断提升。</w:t>
      </w:r>
    </w:p>
    <w:p w14:paraId="51A6DB47">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eastAsia" w:ascii="楷体_GB2312" w:hAnsi="楷体_GB2312" w:eastAsia="楷体_GB2312" w:cs="楷体_GB2312"/>
          <w:b w:val="0"/>
          <w:bCs/>
          <w:color w:val="auto"/>
          <w:sz w:val="32"/>
          <w:szCs w:val="32"/>
          <w:lang w:val="en-US" w:eastAsia="zh-CN"/>
        </w:rPr>
        <w:t>主动公开方面。</w:t>
      </w:r>
      <w:r>
        <w:rPr>
          <w:rFonts w:hint="default" w:ascii="Times New Roman" w:hAnsi="Times New Roman" w:eastAsia="楷体_GB2312" w:cs="Times New Roman"/>
          <w:b w:val="0"/>
          <w:bCs/>
          <w:color w:val="auto"/>
          <w:sz w:val="32"/>
          <w:szCs w:val="32"/>
          <w:lang w:val="en-US" w:eastAsia="zh-CN"/>
        </w:rPr>
        <w:t>2024</w:t>
      </w:r>
      <w:r>
        <w:rPr>
          <w:rFonts w:hint="eastAsia" w:ascii="仿宋_GB2312" w:hAnsi="仿宋_GB2312" w:eastAsia="仿宋_GB2312" w:cs="仿宋_GB2312"/>
          <w:b w:val="0"/>
          <w:bCs/>
          <w:color w:val="auto"/>
          <w:sz w:val="32"/>
          <w:szCs w:val="32"/>
          <w:lang w:val="en-US" w:eastAsia="zh-CN"/>
        </w:rPr>
        <w:t>年，通过政府门户网站主动公开以环翠区政府及环翠区政府办公室名义制作的政府文件</w:t>
      </w:r>
      <w:r>
        <w:rPr>
          <w:rFonts w:hint="default" w:ascii="Times New Roman" w:hAnsi="Times New Roman" w:eastAsia="仿宋_GB2312" w:cs="Times New Roman"/>
          <w:b w:val="0"/>
          <w:bCs/>
          <w:color w:val="auto"/>
          <w:sz w:val="32"/>
          <w:szCs w:val="32"/>
          <w:lang w:val="en-US" w:eastAsia="zh-CN"/>
        </w:rPr>
        <w:t>21件，其中规范性文件2件，政策性文件8件，配发多种形式、多种角度的解读材料</w:t>
      </w:r>
      <w:r>
        <w:rPr>
          <w:rFonts w:hint="eastAsia" w:ascii="Times New Roman" w:hAnsi="Times New Roman" w:eastAsia="仿宋_GB2312" w:cs="Times New Roman"/>
          <w:b w:val="0"/>
          <w:bCs/>
          <w:color w:val="auto"/>
          <w:sz w:val="32"/>
          <w:szCs w:val="32"/>
          <w:lang w:val="en-US" w:eastAsia="zh-CN"/>
        </w:rPr>
        <w:t>28</w:t>
      </w:r>
      <w:r>
        <w:rPr>
          <w:rFonts w:hint="default" w:ascii="Times New Roman" w:hAnsi="Times New Roman" w:eastAsia="仿宋_GB2312" w:cs="Times New Roman"/>
          <w:b w:val="0"/>
          <w:bCs/>
          <w:color w:val="auto"/>
          <w:sz w:val="32"/>
          <w:szCs w:val="32"/>
          <w:lang w:val="en-US" w:eastAsia="zh-CN"/>
        </w:rPr>
        <w:t>篇，发布区政府公报</w:t>
      </w:r>
      <w:r>
        <w:rPr>
          <w:rFonts w:hint="eastAsia" w:ascii="Times New Roman" w:hAnsi="Times New Roman" w:eastAsia="仿宋_GB2312" w:cs="Times New Roman"/>
          <w:b w:val="0"/>
          <w:bCs/>
          <w:color w:val="auto"/>
          <w:sz w:val="32"/>
          <w:szCs w:val="32"/>
          <w:lang w:val="en-US" w:eastAsia="zh-CN"/>
        </w:rPr>
        <w:t>4期。常态化公开16次政府常务会议基本情况、提纲速读、视频报道等信息。</w:t>
      </w:r>
    </w:p>
    <w:p w14:paraId="5B344A7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lang w:val="en-US" w:eastAsia="zh-CN"/>
        </w:rPr>
        <w:t>2024年，环翠区政府及环翠区政府办公室共</w:t>
      </w:r>
      <w:r>
        <w:rPr>
          <w:rFonts w:hint="eastAsia" w:ascii="Times New Roman" w:hAnsi="Times New Roman" w:eastAsia="仿宋_GB2312" w:cs="Times New Roman"/>
          <w:b w:val="0"/>
          <w:bCs/>
          <w:color w:val="auto"/>
          <w:sz w:val="32"/>
          <w:szCs w:val="32"/>
          <w:lang w:val="en-US" w:eastAsia="zh-CN"/>
        </w:rPr>
        <w:t>办</w:t>
      </w:r>
      <w:r>
        <w:rPr>
          <w:rFonts w:hint="default" w:ascii="Times New Roman" w:hAnsi="Times New Roman" w:eastAsia="仿宋_GB2312" w:cs="Times New Roman"/>
          <w:b w:val="0"/>
          <w:bCs/>
          <w:color w:val="auto"/>
          <w:sz w:val="32"/>
          <w:szCs w:val="32"/>
          <w:lang w:val="en-US" w:eastAsia="zh-CN"/>
        </w:rPr>
        <w:t>理信息公开申请</w:t>
      </w:r>
      <w:r>
        <w:rPr>
          <w:rFonts w:hint="eastAsia" w:ascii="Times New Roman" w:hAnsi="Times New Roman" w:eastAsia="仿宋_GB2312" w:cs="Times New Roman"/>
          <w:b w:val="0"/>
          <w:bCs/>
          <w:color w:val="auto"/>
          <w:sz w:val="32"/>
          <w:szCs w:val="32"/>
          <w:lang w:val="en-US" w:eastAsia="zh-CN"/>
        </w:rPr>
        <w:t>10</w:t>
      </w:r>
      <w:r>
        <w:rPr>
          <w:rFonts w:hint="default" w:ascii="Times New Roman" w:hAnsi="Times New Roman" w:eastAsia="仿宋_GB2312" w:cs="Times New Roman"/>
          <w:b w:val="0"/>
          <w:bCs/>
          <w:color w:val="auto"/>
          <w:sz w:val="32"/>
          <w:szCs w:val="32"/>
          <w:lang w:val="en-US" w:eastAsia="zh-CN"/>
        </w:rPr>
        <w:t>件</w:t>
      </w:r>
      <w:r>
        <w:rPr>
          <w:rFonts w:hint="eastAsia" w:ascii="Times New Roman" w:hAnsi="Times New Roman" w:eastAsia="仿宋_GB2312" w:cs="Times New Roman"/>
          <w:b w:val="0"/>
          <w:bCs/>
          <w:color w:val="auto"/>
          <w:sz w:val="32"/>
          <w:szCs w:val="32"/>
          <w:lang w:val="en-US" w:eastAsia="zh-CN"/>
        </w:rPr>
        <w:t>（含上年度结转1件）</w:t>
      </w:r>
      <w:r>
        <w:rPr>
          <w:rFonts w:hint="default" w:ascii="Times New Roman" w:hAnsi="Times New Roman" w:eastAsia="仿宋_GB2312" w:cs="Times New Roman"/>
          <w:b w:val="0"/>
          <w:bCs/>
          <w:color w:val="auto"/>
          <w:sz w:val="32"/>
          <w:szCs w:val="32"/>
          <w:lang w:val="en-US" w:eastAsia="zh-CN"/>
        </w:rPr>
        <w:t>，结转下年办理1件，较上年减少1</w:t>
      </w:r>
      <w:r>
        <w:rPr>
          <w:rFonts w:hint="eastAsia" w:ascii="Times New Roman" w:hAnsi="Times New Roman" w:eastAsia="仿宋_GB2312" w:cs="Times New Roman"/>
          <w:b w:val="0"/>
          <w:bCs/>
          <w:color w:val="auto"/>
          <w:sz w:val="32"/>
          <w:szCs w:val="32"/>
          <w:lang w:val="en-US" w:eastAsia="zh-CN"/>
        </w:rPr>
        <w:t>4</w:t>
      </w:r>
      <w:r>
        <w:rPr>
          <w:rFonts w:hint="default" w:ascii="Times New Roman" w:hAnsi="Times New Roman" w:eastAsia="仿宋_GB2312" w:cs="Times New Roman"/>
          <w:b w:val="0"/>
          <w:bCs/>
          <w:color w:val="auto"/>
          <w:sz w:val="32"/>
          <w:szCs w:val="32"/>
          <w:lang w:val="en-US" w:eastAsia="zh-CN"/>
        </w:rPr>
        <w:t>件。办理市政府办公室协助调查8件，申请领域主要包括土地征收、建设项目、房地产及物业等。全年未发生因政府信息公开引发的行政复议和行政诉讼案件。</w:t>
      </w:r>
    </w:p>
    <w:p w14:paraId="34739736">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政府信息管理方面。</w:t>
      </w:r>
      <w:r>
        <w:rPr>
          <w:rFonts w:hint="default" w:ascii="Times New Roman" w:hAnsi="Times New Roman" w:eastAsia="仿宋_GB2312" w:cs="Times New Roman"/>
          <w:b w:val="0"/>
          <w:bCs/>
          <w:color w:val="auto"/>
          <w:sz w:val="32"/>
          <w:szCs w:val="32"/>
          <w:lang w:val="en-US" w:eastAsia="zh-CN"/>
        </w:rPr>
        <w:t>根据</w:t>
      </w:r>
      <w:r>
        <w:rPr>
          <w:rFonts w:hint="eastAsia" w:ascii="Times New Roman" w:hAnsi="Times New Roman" w:eastAsia="仿宋_GB2312" w:cs="Times New Roman"/>
          <w:b w:val="0"/>
          <w:bCs/>
          <w:color w:val="auto"/>
          <w:sz w:val="32"/>
          <w:szCs w:val="32"/>
          <w:lang w:val="en-US" w:eastAsia="zh-CN"/>
        </w:rPr>
        <w:t>《全省主动公开事项目录编制工作方案》要求</w:t>
      </w:r>
      <w:r>
        <w:rPr>
          <w:rFonts w:hint="default" w:ascii="Times New Roman" w:hAnsi="Times New Roman" w:eastAsia="仿宋_GB2312" w:cs="Times New Roman"/>
          <w:b w:val="0"/>
          <w:bCs/>
          <w:color w:val="auto"/>
          <w:sz w:val="32"/>
          <w:szCs w:val="32"/>
          <w:lang w:val="en-US" w:eastAsia="zh-CN"/>
        </w:rPr>
        <w:t>，</w:t>
      </w:r>
      <w:r>
        <w:rPr>
          <w:rFonts w:hint="eastAsia" w:ascii="Times New Roman" w:hAnsi="Times New Roman" w:eastAsia="仿宋_GB2312" w:cs="Times New Roman"/>
          <w:b w:val="0"/>
          <w:bCs/>
          <w:color w:val="auto"/>
          <w:sz w:val="32"/>
          <w:szCs w:val="32"/>
          <w:lang w:val="en-US" w:eastAsia="zh-CN"/>
        </w:rPr>
        <w:t>环翠区政府办公室</w:t>
      </w:r>
      <w:r>
        <w:rPr>
          <w:rFonts w:hint="default" w:ascii="Times New Roman" w:hAnsi="Times New Roman" w:eastAsia="仿宋_GB2312" w:cs="Times New Roman"/>
          <w:sz w:val="32"/>
          <w:szCs w:val="32"/>
          <w:lang w:val="en-US" w:eastAsia="zh-CN"/>
        </w:rPr>
        <w:t>结合我区实际编制了《环翠区人民政府主动公开事项目录（2024年版）》</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环翠区人民政府</w:t>
      </w:r>
      <w:r>
        <w:rPr>
          <w:rFonts w:hint="eastAsia" w:ascii="Times New Roman" w:hAnsi="Times New Roman" w:eastAsia="仿宋_GB2312" w:cs="Times New Roman"/>
          <w:sz w:val="32"/>
          <w:szCs w:val="32"/>
          <w:lang w:val="en-US" w:eastAsia="zh-CN"/>
        </w:rPr>
        <w:t>办公室</w:t>
      </w:r>
      <w:r>
        <w:rPr>
          <w:rFonts w:hint="default" w:ascii="Times New Roman" w:hAnsi="Times New Roman" w:eastAsia="仿宋_GB2312" w:cs="Times New Roman"/>
          <w:sz w:val="32"/>
          <w:szCs w:val="32"/>
          <w:lang w:val="en-US" w:eastAsia="zh-CN"/>
        </w:rPr>
        <w:t>主动公开事项目录（2024年版）》</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b w:val="0"/>
          <w:bCs/>
          <w:sz w:val="32"/>
          <w:szCs w:val="32"/>
          <w:lang w:val="en-US" w:eastAsia="zh-CN"/>
        </w:rPr>
        <w:t>贯彻</w:t>
      </w:r>
      <w:r>
        <w:rPr>
          <w:rFonts w:hint="eastAsia" w:ascii="Times New Roman" w:hAnsi="Times New Roman" w:eastAsia="仿宋_GB2312" w:cs="Times New Roman"/>
          <w:b w:val="0"/>
          <w:bCs/>
          <w:sz w:val="32"/>
          <w:szCs w:val="32"/>
          <w:lang w:eastAsia="zh-CN"/>
        </w:rPr>
        <w:t>落实政府信息全生命周期管理制度</w:t>
      </w:r>
      <w:r>
        <w:rPr>
          <w:rFonts w:hint="eastAsia" w:ascii="Times New Roman" w:hAnsi="Times New Roman" w:eastAsia="仿宋_GB2312" w:cs="Times New Roman"/>
          <w:b w:val="0"/>
          <w:bCs/>
          <w:sz w:val="32"/>
          <w:szCs w:val="32"/>
          <w:lang w:val="en-US" w:eastAsia="zh-CN"/>
        </w:rPr>
        <w:t>和</w:t>
      </w:r>
      <w:r>
        <w:rPr>
          <w:rFonts w:hint="eastAsia" w:ascii="Times New Roman" w:hAnsi="Times New Roman" w:eastAsia="仿宋_GB2312" w:cs="Times New Roman"/>
          <w:b w:val="0"/>
          <w:bCs/>
          <w:sz w:val="32"/>
          <w:szCs w:val="32"/>
          <w:lang w:eastAsia="zh-CN"/>
        </w:rPr>
        <w:t>政府信息发布的保密审查机制，全年未发生在政府信息公开过程中公布涉密文件和泄密的情况。对现行有效的行政规范性文件开展</w:t>
      </w:r>
      <w:r>
        <w:rPr>
          <w:rFonts w:hint="eastAsia" w:ascii="Times New Roman" w:hAnsi="Times New Roman" w:eastAsia="仿宋_GB2312" w:cs="Times New Roman"/>
          <w:b w:val="0"/>
          <w:bCs/>
          <w:sz w:val="32"/>
          <w:szCs w:val="32"/>
          <w:lang w:val="en-US" w:eastAsia="zh-CN"/>
        </w:rPr>
        <w:t>集中</w:t>
      </w:r>
      <w:r>
        <w:rPr>
          <w:rFonts w:hint="eastAsia" w:ascii="Times New Roman" w:hAnsi="Times New Roman" w:eastAsia="仿宋_GB2312" w:cs="Times New Roman"/>
          <w:b w:val="0"/>
          <w:bCs/>
          <w:sz w:val="32"/>
          <w:szCs w:val="32"/>
          <w:lang w:eastAsia="zh-CN"/>
        </w:rPr>
        <w:t>清理工作，202</w:t>
      </w:r>
      <w:r>
        <w:rPr>
          <w:rFonts w:hint="eastAsia" w:ascii="Times New Roman" w:hAnsi="Times New Roman" w:eastAsia="仿宋_GB2312" w:cs="Times New Roman"/>
          <w:b w:val="0"/>
          <w:bCs/>
          <w:sz w:val="32"/>
          <w:szCs w:val="32"/>
          <w:lang w:val="en-US" w:eastAsia="zh-CN"/>
        </w:rPr>
        <w:t>4</w:t>
      </w:r>
      <w:r>
        <w:rPr>
          <w:rFonts w:hint="eastAsia" w:ascii="Times New Roman" w:hAnsi="Times New Roman" w:eastAsia="仿宋_GB2312" w:cs="Times New Roman"/>
          <w:b w:val="0"/>
          <w:bCs/>
          <w:sz w:val="32"/>
          <w:szCs w:val="32"/>
          <w:lang w:eastAsia="zh-CN"/>
        </w:rPr>
        <w:t>年宣布废止和失效</w:t>
      </w:r>
      <w:r>
        <w:rPr>
          <w:rFonts w:hint="eastAsia" w:ascii="Times New Roman" w:hAnsi="Times New Roman" w:eastAsia="仿宋_GB2312" w:cs="Times New Roman"/>
          <w:b w:val="0"/>
          <w:bCs/>
          <w:sz w:val="32"/>
          <w:szCs w:val="32"/>
          <w:lang w:val="en-US" w:eastAsia="zh-CN"/>
        </w:rPr>
        <w:t>2</w:t>
      </w:r>
      <w:r>
        <w:rPr>
          <w:rFonts w:hint="eastAsia" w:ascii="Times New Roman" w:hAnsi="Times New Roman" w:eastAsia="仿宋_GB2312" w:cs="Times New Roman"/>
          <w:b w:val="0"/>
          <w:bCs/>
          <w:sz w:val="32"/>
          <w:szCs w:val="32"/>
          <w:lang w:eastAsia="zh-CN"/>
        </w:rPr>
        <w:t>件，</w:t>
      </w:r>
      <w:r>
        <w:rPr>
          <w:rFonts w:hint="eastAsia" w:ascii="Times New Roman" w:hAnsi="Times New Roman" w:eastAsia="仿宋_GB2312" w:cs="Times New Roman"/>
          <w:b w:val="0"/>
          <w:bCs/>
          <w:sz w:val="32"/>
          <w:szCs w:val="32"/>
          <w:lang w:val="en-US" w:eastAsia="zh-CN"/>
        </w:rPr>
        <w:t>并动态调整文件</w:t>
      </w:r>
      <w:r>
        <w:rPr>
          <w:rFonts w:hint="eastAsia" w:ascii="Times New Roman" w:hAnsi="Times New Roman" w:eastAsia="仿宋_GB2312" w:cs="Times New Roman"/>
          <w:b w:val="0"/>
          <w:bCs/>
          <w:sz w:val="32"/>
          <w:szCs w:val="32"/>
          <w:lang w:eastAsia="zh-CN"/>
        </w:rPr>
        <w:t>有效性</w:t>
      </w:r>
      <w:r>
        <w:rPr>
          <w:rFonts w:hint="eastAsia" w:ascii="Times New Roman" w:hAnsi="Times New Roman" w:eastAsia="仿宋_GB2312" w:cs="Times New Roman"/>
          <w:b w:val="0"/>
          <w:bCs/>
          <w:sz w:val="32"/>
          <w:szCs w:val="32"/>
          <w:lang w:val="en-US" w:eastAsia="zh-CN"/>
        </w:rPr>
        <w:t>标注</w:t>
      </w:r>
      <w:r>
        <w:rPr>
          <w:rFonts w:hint="eastAsia" w:ascii="Times New Roman" w:hAnsi="Times New Roman" w:eastAsia="仿宋_GB2312" w:cs="Times New Roman"/>
          <w:b w:val="0"/>
          <w:bCs/>
          <w:sz w:val="32"/>
          <w:szCs w:val="32"/>
          <w:lang w:eastAsia="zh-CN"/>
        </w:rPr>
        <w:t>。</w:t>
      </w:r>
    </w:p>
    <w:p w14:paraId="59DA89F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平台建设方面。</w:t>
      </w:r>
      <w:r>
        <w:rPr>
          <w:rFonts w:hint="eastAsia" w:ascii="Times New Roman" w:hAnsi="Times New Roman" w:eastAsia="仿宋_GB2312" w:cs="Times New Roman"/>
          <w:b w:val="0"/>
          <w:bCs/>
          <w:sz w:val="32"/>
          <w:szCs w:val="32"/>
          <w:lang w:eastAsia="zh-CN"/>
        </w:rPr>
        <w:t>进一步完善政务公开专栏</w:t>
      </w:r>
      <w:r>
        <w:rPr>
          <w:rFonts w:hint="eastAsia" w:ascii="Times New Roman" w:hAnsi="Times New Roman" w:eastAsia="仿宋_GB2312" w:cs="Times New Roman"/>
          <w:b w:val="0"/>
          <w:bCs/>
          <w:sz w:val="32"/>
          <w:szCs w:val="32"/>
          <w:lang w:val="en-US" w:eastAsia="zh-CN"/>
        </w:rPr>
        <w:t>建设</w:t>
      </w:r>
      <w:r>
        <w:rPr>
          <w:rFonts w:hint="eastAsia" w:ascii="Times New Roman" w:hAnsi="Times New Roman" w:eastAsia="仿宋_GB2312" w:cs="Times New Roman"/>
          <w:b w:val="0"/>
          <w:bCs/>
          <w:sz w:val="32"/>
          <w:szCs w:val="32"/>
          <w:lang w:eastAsia="zh-CN"/>
        </w:rPr>
        <w:t>，</w:t>
      </w:r>
      <w:r>
        <w:rPr>
          <w:rFonts w:hint="eastAsia" w:ascii="Times New Roman" w:hAnsi="Times New Roman" w:eastAsia="仿宋_GB2312" w:cs="Times New Roman"/>
          <w:b w:val="0"/>
          <w:bCs/>
          <w:sz w:val="32"/>
          <w:szCs w:val="32"/>
          <w:lang w:val="en-US" w:eastAsia="zh-CN"/>
        </w:rPr>
        <w:t>重新调整“法定基础内容公开”“重点领域信息公开”“依申请公开”等模块设置，优化“机构职能”“财政信息”“意见征集”“重点领域”等栏目结构。</w:t>
      </w:r>
      <w:r>
        <w:rPr>
          <w:rFonts w:hint="eastAsia" w:ascii="Times New Roman" w:hAnsi="Times New Roman" w:eastAsia="仿宋_GB2312" w:cs="Times New Roman"/>
          <w:b w:val="0"/>
          <w:bCs/>
          <w:sz w:val="32"/>
          <w:szCs w:val="32"/>
          <w:lang w:eastAsia="zh-CN"/>
        </w:rPr>
        <w:t>做好政府公报编辑和赠阅工作，全年共编辑</w:t>
      </w:r>
      <w:r>
        <w:rPr>
          <w:rFonts w:hint="eastAsia" w:ascii="Times New Roman" w:hAnsi="Times New Roman" w:eastAsia="仿宋_GB2312" w:cs="Times New Roman"/>
          <w:b w:val="0"/>
          <w:bCs/>
          <w:sz w:val="32"/>
          <w:szCs w:val="32"/>
          <w:lang w:val="en-US" w:eastAsia="zh-CN"/>
        </w:rPr>
        <w:t>4</w:t>
      </w:r>
      <w:r>
        <w:rPr>
          <w:rFonts w:hint="eastAsia" w:ascii="Times New Roman" w:hAnsi="Times New Roman" w:eastAsia="仿宋_GB2312" w:cs="Times New Roman"/>
          <w:b w:val="0"/>
          <w:bCs/>
          <w:sz w:val="32"/>
          <w:szCs w:val="32"/>
          <w:lang w:eastAsia="zh-CN"/>
        </w:rPr>
        <w:t>期。开展政务新媒体清理整合行动，对粉丝量少、关注度低、发布信息频率不高的账号进行注销，全年累计关停账号</w:t>
      </w:r>
      <w:r>
        <w:rPr>
          <w:rFonts w:hint="eastAsia" w:ascii="Times New Roman" w:hAnsi="Times New Roman" w:eastAsia="仿宋_GB2312" w:cs="Times New Roman"/>
          <w:b w:val="0"/>
          <w:bCs/>
          <w:sz w:val="32"/>
          <w:szCs w:val="32"/>
          <w:lang w:val="en-US" w:eastAsia="zh-CN"/>
        </w:rPr>
        <w:t>12</w:t>
      </w:r>
      <w:r>
        <w:rPr>
          <w:rFonts w:hint="eastAsia" w:ascii="Times New Roman" w:hAnsi="Times New Roman" w:eastAsia="仿宋_GB2312" w:cs="Times New Roman"/>
          <w:b w:val="0"/>
          <w:bCs/>
          <w:sz w:val="32"/>
          <w:szCs w:val="32"/>
          <w:lang w:eastAsia="zh-CN"/>
        </w:rPr>
        <w:t>个，进一步规范政务新媒体管理。</w:t>
      </w:r>
    </w:p>
    <w:p w14:paraId="7032C13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lang w:val="en-US" w:eastAsia="zh-CN"/>
        </w:rPr>
        <w:t>积极组织全区政务公开工作人员集中培训，组织收看省级、市级视频培训会议3次。针对各部门、各镇街新任职业务人员，组织</w:t>
      </w:r>
      <w:r>
        <w:rPr>
          <w:rFonts w:hint="default" w:ascii="Times New Roman" w:hAnsi="Times New Roman" w:eastAsia="仿宋_GB2312" w:cs="Times New Roman"/>
          <w:b w:val="0"/>
          <w:bCs/>
          <w:sz w:val="32"/>
          <w:szCs w:val="32"/>
        </w:rPr>
        <w:t>安排政务公开轮训，推动以干代训</w:t>
      </w:r>
      <w:r>
        <w:rPr>
          <w:rFonts w:hint="default" w:ascii="Times New Roman" w:hAnsi="Times New Roman" w:eastAsia="仿宋_GB2312" w:cs="Times New Roman"/>
          <w:b w:val="0"/>
          <w:bCs/>
          <w:color w:val="auto"/>
          <w:sz w:val="32"/>
          <w:szCs w:val="32"/>
          <w:lang w:val="en-US" w:eastAsia="zh-CN"/>
        </w:rPr>
        <w:t>，着力解决新手业务生疏问题。</w:t>
      </w:r>
    </w:p>
    <w:p w14:paraId="33AEF17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2"/>
        <w:tblW w:w="8824" w:type="dxa"/>
        <w:jc w:val="center"/>
        <w:tblLayout w:type="fixed"/>
        <w:tblCellMar>
          <w:top w:w="0" w:type="dxa"/>
          <w:left w:w="108" w:type="dxa"/>
          <w:bottom w:w="0" w:type="dxa"/>
          <w:right w:w="108" w:type="dxa"/>
        </w:tblCellMar>
      </w:tblPr>
      <w:tblGrid>
        <w:gridCol w:w="2206"/>
        <w:gridCol w:w="2206"/>
        <w:gridCol w:w="2206"/>
        <w:gridCol w:w="2206"/>
      </w:tblGrid>
      <w:tr w14:paraId="58F3E8E9">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DA57C05">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3486A813">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AD43210">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08218327">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64CF7CC4">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4CBB98C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42493486">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0423AFF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0082CFA2">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99786C2">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D94960F">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5F46AB74">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0BBFCD3A">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2DA7DFF6">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2</w:t>
            </w:r>
          </w:p>
        </w:tc>
        <w:tc>
          <w:tcPr>
            <w:tcW w:w="2206" w:type="dxa"/>
            <w:tcBorders>
              <w:top w:val="nil"/>
              <w:left w:val="nil"/>
              <w:bottom w:val="single" w:color="auto" w:sz="8" w:space="0"/>
              <w:right w:val="single" w:color="auto" w:sz="8" w:space="0"/>
            </w:tcBorders>
            <w:shd w:val="clear" w:color="auto" w:fill="auto"/>
            <w:vAlign w:val="center"/>
          </w:tcPr>
          <w:p w14:paraId="6F3591EB">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2</w:t>
            </w:r>
          </w:p>
        </w:tc>
        <w:tc>
          <w:tcPr>
            <w:tcW w:w="2206" w:type="dxa"/>
            <w:tcBorders>
              <w:top w:val="nil"/>
              <w:left w:val="nil"/>
              <w:bottom w:val="single" w:color="auto" w:sz="8" w:space="0"/>
              <w:right w:val="single" w:color="auto" w:sz="8" w:space="0"/>
            </w:tcBorders>
            <w:shd w:val="clear" w:color="auto" w:fill="auto"/>
            <w:vAlign w:val="center"/>
          </w:tcPr>
          <w:p w14:paraId="0015B01C">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6</w:t>
            </w:r>
          </w:p>
        </w:tc>
      </w:tr>
      <w:tr w14:paraId="12DC3F08">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CF51416">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27BC4C28">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928102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320F4C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770E7A81">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48120F4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152D0E7">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0B17C3F9">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5F01351">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2582AC4F">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4AE06F93">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5214BF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546A9E54">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2EAB4AF">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1A18EE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5362FC1C">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4AB40822">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BECBF0D">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E191D29">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42035F4">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39B7847D">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3313C30">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7B3FCA3">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2C4E133E">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C9D42A8">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454264E">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14:paraId="0796D4C3">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2"/>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56"/>
        <w:gridCol w:w="5"/>
        <w:gridCol w:w="4"/>
        <w:gridCol w:w="3"/>
        <w:gridCol w:w="3"/>
        <w:gridCol w:w="516"/>
        <w:gridCol w:w="5"/>
        <w:gridCol w:w="4"/>
        <w:gridCol w:w="4"/>
        <w:gridCol w:w="3"/>
        <w:gridCol w:w="3"/>
        <w:gridCol w:w="3"/>
        <w:gridCol w:w="518"/>
        <w:gridCol w:w="720"/>
        <w:gridCol w:w="675"/>
        <w:gridCol w:w="525"/>
        <w:gridCol w:w="1"/>
        <w:gridCol w:w="700"/>
      </w:tblGrid>
      <w:tr w14:paraId="107C7D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142590CD">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21D6040E">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18"/>
            <w:shd w:val="clear" w:color="auto" w:fill="auto"/>
            <w:tcMar>
              <w:left w:w="108" w:type="dxa"/>
              <w:right w:w="108" w:type="dxa"/>
            </w:tcMar>
            <w:vAlign w:val="center"/>
          </w:tcPr>
          <w:p w14:paraId="66933E00">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5774FA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1EDF030F">
            <w:pPr>
              <w:jc w:val="center"/>
              <w:rPr>
                <w:rFonts w:ascii="仿宋_GB2312" w:hAnsi="Times New Roman" w:eastAsia="仿宋_GB2312"/>
                <w:szCs w:val="21"/>
              </w:rPr>
            </w:pPr>
          </w:p>
        </w:tc>
        <w:tc>
          <w:tcPr>
            <w:tcW w:w="756" w:type="dxa"/>
            <w:vMerge w:val="restart"/>
            <w:shd w:val="clear" w:color="auto" w:fill="auto"/>
            <w:tcMar>
              <w:left w:w="108" w:type="dxa"/>
              <w:right w:w="108" w:type="dxa"/>
            </w:tcMar>
            <w:vAlign w:val="center"/>
          </w:tcPr>
          <w:p w14:paraId="69CE9745">
            <w:pPr>
              <w:widowControl/>
              <w:jc w:val="center"/>
              <w:rPr>
                <w:rFonts w:ascii="黑体" w:hAnsi="黑体" w:eastAsia="黑体"/>
                <w:szCs w:val="21"/>
              </w:rPr>
            </w:pPr>
            <w:r>
              <w:rPr>
                <w:rFonts w:hint="eastAsia" w:ascii="黑体" w:hAnsi="黑体" w:eastAsia="黑体"/>
                <w:kern w:val="0"/>
                <w:szCs w:val="21"/>
              </w:rPr>
              <w:t>自然人</w:t>
            </w:r>
          </w:p>
        </w:tc>
        <w:tc>
          <w:tcPr>
            <w:tcW w:w="2991" w:type="dxa"/>
            <w:gridSpan w:val="15"/>
            <w:shd w:val="clear" w:color="auto" w:fill="auto"/>
            <w:tcMar>
              <w:left w:w="108" w:type="dxa"/>
              <w:right w:w="108" w:type="dxa"/>
            </w:tcMar>
            <w:vAlign w:val="center"/>
          </w:tcPr>
          <w:p w14:paraId="0BA0B530">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14:paraId="572AB964">
            <w:pPr>
              <w:widowControl/>
              <w:jc w:val="center"/>
              <w:rPr>
                <w:rFonts w:ascii="黑体" w:hAnsi="黑体" w:eastAsia="黑体"/>
                <w:szCs w:val="21"/>
              </w:rPr>
            </w:pPr>
            <w:r>
              <w:rPr>
                <w:rFonts w:hint="eastAsia" w:ascii="黑体" w:hAnsi="黑体" w:eastAsia="黑体"/>
                <w:kern w:val="0"/>
                <w:szCs w:val="21"/>
              </w:rPr>
              <w:t>总计</w:t>
            </w:r>
          </w:p>
        </w:tc>
      </w:tr>
      <w:tr w14:paraId="788CF2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3B4F34D0">
            <w:pPr>
              <w:jc w:val="center"/>
              <w:rPr>
                <w:rFonts w:ascii="仿宋_GB2312" w:hAnsi="Times New Roman" w:eastAsia="仿宋_GB2312"/>
                <w:szCs w:val="21"/>
              </w:rPr>
            </w:pPr>
          </w:p>
        </w:tc>
        <w:tc>
          <w:tcPr>
            <w:tcW w:w="756" w:type="dxa"/>
            <w:vMerge w:val="continue"/>
            <w:shd w:val="clear" w:color="auto" w:fill="auto"/>
            <w:tcMar>
              <w:left w:w="108" w:type="dxa"/>
              <w:right w:w="108" w:type="dxa"/>
            </w:tcMar>
            <w:vAlign w:val="center"/>
          </w:tcPr>
          <w:p w14:paraId="4519D1C4">
            <w:pPr>
              <w:jc w:val="center"/>
              <w:rPr>
                <w:rFonts w:ascii="黑体" w:hAnsi="黑体" w:eastAsia="黑体"/>
                <w:szCs w:val="21"/>
              </w:rPr>
            </w:pPr>
          </w:p>
        </w:tc>
        <w:tc>
          <w:tcPr>
            <w:tcW w:w="531" w:type="dxa"/>
            <w:gridSpan w:val="5"/>
            <w:shd w:val="clear" w:color="auto" w:fill="auto"/>
            <w:tcMar>
              <w:left w:w="108" w:type="dxa"/>
              <w:right w:w="108" w:type="dxa"/>
            </w:tcMar>
            <w:vAlign w:val="center"/>
          </w:tcPr>
          <w:p w14:paraId="1FB86402">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14:paraId="77CE0D8E">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4AA741BE">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5B259027">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7C2C5B3C">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14:paraId="3FAD3AF3">
            <w:pPr>
              <w:jc w:val="center"/>
              <w:rPr>
                <w:rFonts w:ascii="仿宋_GB2312" w:hAnsi="Times New Roman" w:eastAsia="仿宋_GB2312"/>
                <w:szCs w:val="21"/>
              </w:rPr>
            </w:pPr>
          </w:p>
        </w:tc>
      </w:tr>
      <w:tr w14:paraId="6325DD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AC77BF3">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56" w:type="dxa"/>
            <w:shd w:val="clear" w:color="auto" w:fill="auto"/>
            <w:tcMar>
              <w:left w:w="108" w:type="dxa"/>
              <w:right w:w="108" w:type="dxa"/>
            </w:tcMar>
            <w:vAlign w:val="center"/>
          </w:tcPr>
          <w:p w14:paraId="1C18D88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10</w:t>
            </w:r>
          </w:p>
        </w:tc>
        <w:tc>
          <w:tcPr>
            <w:tcW w:w="531" w:type="dxa"/>
            <w:gridSpan w:val="5"/>
            <w:shd w:val="clear" w:color="auto" w:fill="auto"/>
            <w:tcMar>
              <w:left w:w="108" w:type="dxa"/>
              <w:right w:w="108" w:type="dxa"/>
            </w:tcMar>
            <w:vAlign w:val="center"/>
          </w:tcPr>
          <w:p w14:paraId="3D8D1A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330A1E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8E8DE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241E3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409ADF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246F3E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10</w:t>
            </w:r>
          </w:p>
        </w:tc>
      </w:tr>
      <w:tr w14:paraId="08A2CA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4E23A3A8">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56" w:type="dxa"/>
            <w:shd w:val="clear" w:color="auto" w:fill="auto"/>
            <w:tcMar>
              <w:left w:w="108" w:type="dxa"/>
              <w:right w:w="108" w:type="dxa"/>
            </w:tcMar>
            <w:vAlign w:val="center"/>
          </w:tcPr>
          <w:p w14:paraId="05297E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c>
          <w:tcPr>
            <w:tcW w:w="531" w:type="dxa"/>
            <w:gridSpan w:val="5"/>
            <w:shd w:val="clear" w:color="auto" w:fill="auto"/>
            <w:tcMar>
              <w:left w:w="108" w:type="dxa"/>
              <w:right w:w="108" w:type="dxa"/>
            </w:tcMar>
            <w:vAlign w:val="center"/>
          </w:tcPr>
          <w:p w14:paraId="2EE935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29FA366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F4864A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3FC822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299178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5854C9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r>
      <w:tr w14:paraId="054BA5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0E2683CC">
            <w:pPr>
              <w:widowControl/>
              <w:spacing w:after="180"/>
              <w:rPr>
                <w:rFonts w:ascii="黑体" w:hAnsi="黑体" w:eastAsia="黑体"/>
                <w:color w:val="auto"/>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14:paraId="1D38292E">
            <w:pPr>
              <w:widowControl/>
              <w:rPr>
                <w:rFonts w:ascii="黑体" w:hAnsi="黑体" w:eastAsia="黑体"/>
                <w:color w:val="auto"/>
                <w:szCs w:val="21"/>
              </w:rPr>
            </w:pPr>
            <w:r>
              <w:rPr>
                <w:rFonts w:hint="eastAsia" w:ascii="黑体" w:hAnsi="黑体" w:eastAsia="黑体"/>
                <w:color w:val="auto"/>
                <w:kern w:val="0"/>
                <w:szCs w:val="21"/>
              </w:rPr>
              <w:t>（一）予以公开</w:t>
            </w:r>
          </w:p>
        </w:tc>
        <w:tc>
          <w:tcPr>
            <w:tcW w:w="756" w:type="dxa"/>
            <w:shd w:val="clear" w:color="auto" w:fill="auto"/>
            <w:tcMar>
              <w:left w:w="108" w:type="dxa"/>
              <w:right w:w="108" w:type="dxa"/>
            </w:tcMar>
            <w:vAlign w:val="center"/>
          </w:tcPr>
          <w:p w14:paraId="6CA528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3</w:t>
            </w:r>
          </w:p>
        </w:tc>
        <w:tc>
          <w:tcPr>
            <w:tcW w:w="536" w:type="dxa"/>
            <w:gridSpan w:val="6"/>
            <w:shd w:val="clear" w:color="auto" w:fill="auto"/>
            <w:tcMar>
              <w:left w:w="108" w:type="dxa"/>
              <w:right w:w="108" w:type="dxa"/>
            </w:tcMar>
            <w:vAlign w:val="center"/>
          </w:tcPr>
          <w:p w14:paraId="1F3ADB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17B0E2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1BC5B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6A30C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6F381D8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AEE08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3</w:t>
            </w:r>
          </w:p>
        </w:tc>
      </w:tr>
      <w:tr w14:paraId="256F5E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416" w:type="dxa"/>
            <w:vMerge w:val="continue"/>
            <w:shd w:val="clear" w:color="auto" w:fill="auto"/>
            <w:tcMar>
              <w:left w:w="108" w:type="dxa"/>
              <w:right w:w="108" w:type="dxa"/>
            </w:tcMar>
            <w:vAlign w:val="center"/>
          </w:tcPr>
          <w:p w14:paraId="33B393FE">
            <w:pPr>
              <w:rPr>
                <w:rFonts w:ascii="黑体" w:hAnsi="黑体" w:eastAsia="黑体"/>
                <w:color w:val="auto"/>
                <w:szCs w:val="21"/>
              </w:rPr>
            </w:pPr>
          </w:p>
        </w:tc>
        <w:tc>
          <w:tcPr>
            <w:tcW w:w="4677" w:type="dxa"/>
            <w:gridSpan w:val="2"/>
            <w:shd w:val="clear" w:color="auto" w:fill="auto"/>
            <w:tcMar>
              <w:left w:w="108" w:type="dxa"/>
              <w:right w:w="108" w:type="dxa"/>
            </w:tcMar>
            <w:vAlign w:val="center"/>
          </w:tcPr>
          <w:p w14:paraId="68B2D68F">
            <w:pPr>
              <w:widowControl/>
              <w:rPr>
                <w:rFonts w:ascii="黑体" w:hAnsi="黑体" w:eastAsia="黑体"/>
                <w:color w:val="auto"/>
                <w:szCs w:val="21"/>
              </w:rPr>
            </w:pPr>
            <w:r>
              <w:rPr>
                <w:rFonts w:hint="eastAsia" w:ascii="黑体" w:hAnsi="黑体" w:eastAsia="黑体"/>
                <w:color w:val="auto"/>
                <w:kern w:val="0"/>
                <w:szCs w:val="21"/>
              </w:rPr>
              <w:t>（二）部分公开（</w:t>
            </w:r>
            <w:bookmarkStart w:id="1" w:name="_Hlk66973981"/>
            <w:r>
              <w:rPr>
                <w:rFonts w:hint="eastAsia" w:ascii="黑体" w:hAnsi="黑体" w:eastAsia="黑体"/>
                <w:color w:val="auto"/>
                <w:kern w:val="0"/>
                <w:szCs w:val="21"/>
              </w:rPr>
              <w:t>区分处理的，只计这一情形，不计其他情形</w:t>
            </w:r>
            <w:bookmarkEnd w:id="1"/>
            <w:r>
              <w:rPr>
                <w:rFonts w:hint="eastAsia" w:ascii="黑体" w:hAnsi="黑体" w:eastAsia="黑体"/>
                <w:color w:val="auto"/>
                <w:kern w:val="0"/>
                <w:szCs w:val="21"/>
              </w:rPr>
              <w:t>）</w:t>
            </w:r>
          </w:p>
        </w:tc>
        <w:tc>
          <w:tcPr>
            <w:tcW w:w="756" w:type="dxa"/>
            <w:shd w:val="clear" w:color="auto" w:fill="auto"/>
            <w:tcMar>
              <w:left w:w="108" w:type="dxa"/>
              <w:right w:w="108" w:type="dxa"/>
            </w:tcMar>
            <w:vAlign w:val="center"/>
          </w:tcPr>
          <w:p w14:paraId="595F908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6" w:type="dxa"/>
            <w:gridSpan w:val="6"/>
            <w:shd w:val="clear" w:color="auto" w:fill="auto"/>
            <w:tcMar>
              <w:left w:w="108" w:type="dxa"/>
              <w:right w:w="108" w:type="dxa"/>
            </w:tcMar>
            <w:vAlign w:val="center"/>
          </w:tcPr>
          <w:p w14:paraId="186879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3F72C4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37563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1A5EA4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42C262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74673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59AA0B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02120DB">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14:paraId="2E2986FD">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（三）不予公开</w:t>
            </w:r>
          </w:p>
        </w:tc>
        <w:tc>
          <w:tcPr>
            <w:tcW w:w="2976" w:type="dxa"/>
            <w:shd w:val="clear" w:color="auto" w:fill="auto"/>
            <w:tcMar>
              <w:left w:w="108" w:type="dxa"/>
              <w:right w:w="108" w:type="dxa"/>
            </w:tcMar>
            <w:vAlign w:val="center"/>
          </w:tcPr>
          <w:p w14:paraId="69A40A8F">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1.属于国家秘密</w:t>
            </w:r>
          </w:p>
        </w:tc>
        <w:tc>
          <w:tcPr>
            <w:tcW w:w="756" w:type="dxa"/>
            <w:shd w:val="clear" w:color="auto" w:fill="auto"/>
            <w:tcMar>
              <w:left w:w="108" w:type="dxa"/>
              <w:right w:w="108" w:type="dxa"/>
            </w:tcMar>
            <w:vAlign w:val="center"/>
          </w:tcPr>
          <w:p w14:paraId="731F84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6" w:type="dxa"/>
            <w:gridSpan w:val="6"/>
            <w:shd w:val="clear" w:color="auto" w:fill="auto"/>
            <w:tcMar>
              <w:left w:w="108" w:type="dxa"/>
              <w:right w:w="108" w:type="dxa"/>
            </w:tcMar>
            <w:vAlign w:val="center"/>
          </w:tcPr>
          <w:p w14:paraId="1ECCA6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2D7E9C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5E6ED8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5C475D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684C41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791016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2DDE46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CC922C6">
            <w:pPr>
              <w:rPr>
                <w:rFonts w:ascii="黑体" w:hAnsi="黑体" w:eastAsia="黑体"/>
                <w:szCs w:val="21"/>
              </w:rPr>
            </w:pPr>
          </w:p>
        </w:tc>
        <w:tc>
          <w:tcPr>
            <w:tcW w:w="1701" w:type="dxa"/>
            <w:vMerge w:val="continue"/>
            <w:shd w:val="clear" w:color="auto" w:fill="auto"/>
            <w:tcMar>
              <w:left w:w="108" w:type="dxa"/>
              <w:right w:w="108" w:type="dxa"/>
            </w:tcMar>
            <w:vAlign w:val="center"/>
          </w:tcPr>
          <w:p w14:paraId="5CBFEF3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74B4637">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6" w:type="dxa"/>
            <w:shd w:val="clear" w:color="auto" w:fill="auto"/>
            <w:tcMar>
              <w:left w:w="108" w:type="dxa"/>
              <w:right w:w="108" w:type="dxa"/>
            </w:tcMar>
            <w:vAlign w:val="center"/>
          </w:tcPr>
          <w:p w14:paraId="200E35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257CA9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14:paraId="25F78C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FBA5F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D3B080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14007E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410748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0C39B8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111E8C6">
            <w:pPr>
              <w:rPr>
                <w:rFonts w:ascii="黑体" w:hAnsi="黑体" w:eastAsia="黑体"/>
                <w:szCs w:val="21"/>
              </w:rPr>
            </w:pPr>
          </w:p>
        </w:tc>
        <w:tc>
          <w:tcPr>
            <w:tcW w:w="1701" w:type="dxa"/>
            <w:vMerge w:val="continue"/>
            <w:shd w:val="clear" w:color="auto" w:fill="auto"/>
            <w:tcMar>
              <w:left w:w="108" w:type="dxa"/>
              <w:right w:w="108" w:type="dxa"/>
            </w:tcMar>
            <w:vAlign w:val="center"/>
          </w:tcPr>
          <w:p w14:paraId="1EF18E0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859D2FE">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6" w:type="dxa"/>
            <w:shd w:val="clear" w:color="auto" w:fill="auto"/>
            <w:tcMar>
              <w:left w:w="108" w:type="dxa"/>
              <w:right w:w="108" w:type="dxa"/>
            </w:tcMar>
            <w:vAlign w:val="center"/>
          </w:tcPr>
          <w:p w14:paraId="733404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139D85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14:paraId="7C39975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559C52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1642CA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8F566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68C00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15F82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7292DEB">
            <w:pPr>
              <w:rPr>
                <w:rFonts w:ascii="黑体" w:hAnsi="黑体" w:eastAsia="黑体"/>
                <w:szCs w:val="21"/>
              </w:rPr>
            </w:pPr>
          </w:p>
        </w:tc>
        <w:tc>
          <w:tcPr>
            <w:tcW w:w="1701" w:type="dxa"/>
            <w:vMerge w:val="continue"/>
            <w:shd w:val="clear" w:color="auto" w:fill="auto"/>
            <w:tcMar>
              <w:left w:w="108" w:type="dxa"/>
              <w:right w:w="108" w:type="dxa"/>
            </w:tcMar>
            <w:vAlign w:val="center"/>
          </w:tcPr>
          <w:p w14:paraId="753C715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2BFA054">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6" w:type="dxa"/>
            <w:shd w:val="clear" w:color="auto" w:fill="auto"/>
            <w:tcMar>
              <w:left w:w="108" w:type="dxa"/>
              <w:right w:w="108" w:type="dxa"/>
            </w:tcMar>
            <w:vAlign w:val="center"/>
          </w:tcPr>
          <w:p w14:paraId="396661F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3EB0A5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14:paraId="29D21E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72A42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6F53F4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9AE77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5C3067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576F8F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13E6CE6">
            <w:pPr>
              <w:rPr>
                <w:rFonts w:ascii="黑体" w:hAnsi="黑体" w:eastAsia="黑体"/>
                <w:szCs w:val="21"/>
              </w:rPr>
            </w:pPr>
          </w:p>
        </w:tc>
        <w:tc>
          <w:tcPr>
            <w:tcW w:w="1701" w:type="dxa"/>
            <w:vMerge w:val="continue"/>
            <w:shd w:val="clear" w:color="auto" w:fill="auto"/>
            <w:tcMar>
              <w:left w:w="108" w:type="dxa"/>
              <w:right w:w="108" w:type="dxa"/>
            </w:tcMar>
            <w:vAlign w:val="center"/>
          </w:tcPr>
          <w:p w14:paraId="311ED4AE">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EF7B0AE">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2"/>
            <w:shd w:val="clear" w:color="auto" w:fill="auto"/>
            <w:tcMar>
              <w:left w:w="108" w:type="dxa"/>
              <w:right w:w="108" w:type="dxa"/>
            </w:tcMar>
            <w:vAlign w:val="center"/>
          </w:tcPr>
          <w:p w14:paraId="210910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4900E0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03CFCC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785E6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393B0C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51379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7F5EFD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45C74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A122C19">
            <w:pPr>
              <w:rPr>
                <w:rFonts w:ascii="黑体" w:hAnsi="黑体" w:eastAsia="黑体"/>
                <w:szCs w:val="21"/>
              </w:rPr>
            </w:pPr>
          </w:p>
        </w:tc>
        <w:tc>
          <w:tcPr>
            <w:tcW w:w="1701" w:type="dxa"/>
            <w:vMerge w:val="continue"/>
            <w:shd w:val="clear" w:color="auto" w:fill="auto"/>
            <w:tcMar>
              <w:left w:w="108" w:type="dxa"/>
              <w:right w:w="108" w:type="dxa"/>
            </w:tcMar>
            <w:vAlign w:val="center"/>
          </w:tcPr>
          <w:p w14:paraId="3BF6219E">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2AFA6FD">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2"/>
            <w:shd w:val="clear" w:color="auto" w:fill="auto"/>
            <w:tcMar>
              <w:left w:w="108" w:type="dxa"/>
              <w:right w:w="108" w:type="dxa"/>
            </w:tcMar>
            <w:vAlign w:val="center"/>
          </w:tcPr>
          <w:p w14:paraId="18A10D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152E4D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567D3E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473B8E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8E05B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15D34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C7F704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8BEB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E42A96B">
            <w:pPr>
              <w:rPr>
                <w:rFonts w:ascii="黑体" w:hAnsi="黑体" w:eastAsia="黑体"/>
                <w:szCs w:val="21"/>
              </w:rPr>
            </w:pPr>
          </w:p>
        </w:tc>
        <w:tc>
          <w:tcPr>
            <w:tcW w:w="1701" w:type="dxa"/>
            <w:vMerge w:val="continue"/>
            <w:shd w:val="clear" w:color="auto" w:fill="auto"/>
            <w:tcMar>
              <w:left w:w="108" w:type="dxa"/>
              <w:right w:w="108" w:type="dxa"/>
            </w:tcMar>
            <w:vAlign w:val="center"/>
          </w:tcPr>
          <w:p w14:paraId="24A6A9A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291453E">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2"/>
            <w:shd w:val="clear" w:color="auto" w:fill="auto"/>
            <w:tcMar>
              <w:left w:w="108" w:type="dxa"/>
              <w:right w:w="108" w:type="dxa"/>
            </w:tcMar>
            <w:vAlign w:val="center"/>
          </w:tcPr>
          <w:p w14:paraId="4048BB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3E5946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2191B0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F0F52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E0AF13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2EE18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ADFBF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409041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1066A6A">
            <w:pPr>
              <w:rPr>
                <w:rFonts w:ascii="黑体" w:hAnsi="黑体" w:eastAsia="黑体"/>
                <w:szCs w:val="21"/>
              </w:rPr>
            </w:pPr>
          </w:p>
        </w:tc>
        <w:tc>
          <w:tcPr>
            <w:tcW w:w="1701" w:type="dxa"/>
            <w:vMerge w:val="continue"/>
            <w:shd w:val="clear" w:color="auto" w:fill="auto"/>
            <w:tcMar>
              <w:left w:w="108" w:type="dxa"/>
              <w:right w:w="108" w:type="dxa"/>
            </w:tcMar>
            <w:vAlign w:val="center"/>
          </w:tcPr>
          <w:p w14:paraId="3B7C6CB3">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43D3451">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2"/>
            <w:shd w:val="clear" w:color="auto" w:fill="auto"/>
            <w:tcMar>
              <w:left w:w="108" w:type="dxa"/>
              <w:right w:w="108" w:type="dxa"/>
            </w:tcMar>
            <w:vAlign w:val="center"/>
          </w:tcPr>
          <w:p w14:paraId="3499424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7DE848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71D520D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5D6783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106EBF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71659D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5AC218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5A870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82A721A">
            <w:pPr>
              <w:rPr>
                <w:rFonts w:ascii="黑体" w:hAnsi="黑体" w:eastAsia="黑体"/>
                <w:szCs w:val="21"/>
              </w:rPr>
            </w:pPr>
          </w:p>
        </w:tc>
        <w:tc>
          <w:tcPr>
            <w:tcW w:w="1701" w:type="dxa"/>
            <w:vMerge w:val="restart"/>
            <w:shd w:val="clear" w:color="auto" w:fill="auto"/>
            <w:tcMar>
              <w:left w:w="108" w:type="dxa"/>
              <w:right w:w="108" w:type="dxa"/>
            </w:tcMar>
            <w:vAlign w:val="center"/>
          </w:tcPr>
          <w:p w14:paraId="63740EDD">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4DDE7EEF">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3"/>
            <w:shd w:val="clear" w:color="auto" w:fill="auto"/>
            <w:tcMar>
              <w:left w:w="108" w:type="dxa"/>
              <w:right w:w="108" w:type="dxa"/>
            </w:tcMar>
            <w:vAlign w:val="center"/>
          </w:tcPr>
          <w:p w14:paraId="4BBEC7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7</w:t>
            </w:r>
          </w:p>
        </w:tc>
        <w:tc>
          <w:tcPr>
            <w:tcW w:w="538" w:type="dxa"/>
            <w:gridSpan w:val="7"/>
            <w:shd w:val="clear" w:color="auto" w:fill="auto"/>
            <w:tcMar>
              <w:left w:w="108" w:type="dxa"/>
              <w:right w:w="108" w:type="dxa"/>
            </w:tcMar>
            <w:vAlign w:val="center"/>
          </w:tcPr>
          <w:p w14:paraId="70395A9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14:paraId="16D30F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A2F1CC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6DFCFC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1824CAD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76B2DD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7</w:t>
            </w:r>
          </w:p>
        </w:tc>
      </w:tr>
      <w:tr w14:paraId="03CCDE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52E7C82">
            <w:pPr>
              <w:rPr>
                <w:rFonts w:ascii="黑体" w:hAnsi="黑体" w:eastAsia="黑体"/>
                <w:szCs w:val="21"/>
              </w:rPr>
            </w:pPr>
          </w:p>
        </w:tc>
        <w:tc>
          <w:tcPr>
            <w:tcW w:w="1701" w:type="dxa"/>
            <w:vMerge w:val="continue"/>
            <w:shd w:val="clear" w:color="auto" w:fill="auto"/>
            <w:tcMar>
              <w:left w:w="108" w:type="dxa"/>
              <w:right w:w="108" w:type="dxa"/>
            </w:tcMar>
            <w:vAlign w:val="center"/>
          </w:tcPr>
          <w:p w14:paraId="6CD7FC06">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5ECF5271">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3"/>
            <w:shd w:val="clear" w:color="auto" w:fill="auto"/>
            <w:tcMar>
              <w:left w:w="108" w:type="dxa"/>
              <w:right w:w="108" w:type="dxa"/>
            </w:tcMar>
            <w:vAlign w:val="center"/>
          </w:tcPr>
          <w:p w14:paraId="3FF16D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76C25E0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14:paraId="228C2B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03B4AD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C5AF95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7A5E52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EBE648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603F2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B39E41F">
            <w:pPr>
              <w:rPr>
                <w:rFonts w:ascii="黑体" w:hAnsi="黑体" w:eastAsia="黑体"/>
                <w:szCs w:val="21"/>
              </w:rPr>
            </w:pPr>
          </w:p>
        </w:tc>
        <w:tc>
          <w:tcPr>
            <w:tcW w:w="1701" w:type="dxa"/>
            <w:vMerge w:val="continue"/>
            <w:shd w:val="clear" w:color="auto" w:fill="auto"/>
            <w:tcMar>
              <w:left w:w="108" w:type="dxa"/>
              <w:right w:w="108" w:type="dxa"/>
            </w:tcMar>
            <w:vAlign w:val="center"/>
          </w:tcPr>
          <w:p w14:paraId="261695CC">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72F123CD">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3"/>
            <w:shd w:val="clear" w:color="auto" w:fill="auto"/>
            <w:tcMar>
              <w:left w:w="108" w:type="dxa"/>
              <w:right w:w="108" w:type="dxa"/>
            </w:tcMar>
            <w:vAlign w:val="center"/>
          </w:tcPr>
          <w:p w14:paraId="2AFDA7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6DF9AF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14:paraId="523B7C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431EE7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085AF3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4F12C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598EF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799CB8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702B443">
            <w:pPr>
              <w:rPr>
                <w:rFonts w:ascii="黑体" w:hAnsi="黑体" w:eastAsia="黑体"/>
                <w:szCs w:val="21"/>
              </w:rPr>
            </w:pPr>
          </w:p>
        </w:tc>
        <w:tc>
          <w:tcPr>
            <w:tcW w:w="1701" w:type="dxa"/>
            <w:vMerge w:val="restart"/>
            <w:shd w:val="clear" w:color="auto" w:fill="auto"/>
            <w:tcMar>
              <w:left w:w="108" w:type="dxa"/>
              <w:right w:w="108" w:type="dxa"/>
            </w:tcMar>
            <w:vAlign w:val="center"/>
          </w:tcPr>
          <w:p w14:paraId="7E57FB15">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595985FD">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3"/>
            <w:shd w:val="clear" w:color="auto" w:fill="auto"/>
            <w:tcMar>
              <w:left w:w="108" w:type="dxa"/>
              <w:right w:w="108" w:type="dxa"/>
            </w:tcMar>
            <w:vAlign w:val="center"/>
          </w:tcPr>
          <w:p w14:paraId="086D89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30D90CC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14:paraId="139D4F4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6D898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36C795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1C3FBC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7BBF2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5E7338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6E7B2FD">
            <w:pPr>
              <w:rPr>
                <w:rFonts w:ascii="黑体" w:hAnsi="黑体" w:eastAsia="黑体"/>
                <w:szCs w:val="21"/>
              </w:rPr>
            </w:pPr>
          </w:p>
        </w:tc>
        <w:tc>
          <w:tcPr>
            <w:tcW w:w="1701" w:type="dxa"/>
            <w:vMerge w:val="continue"/>
            <w:shd w:val="clear" w:color="auto" w:fill="auto"/>
            <w:tcMar>
              <w:left w:w="108" w:type="dxa"/>
              <w:right w:w="108" w:type="dxa"/>
            </w:tcMar>
            <w:vAlign w:val="center"/>
          </w:tcPr>
          <w:p w14:paraId="61410C40">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1E476BE">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4"/>
            <w:shd w:val="clear" w:color="auto" w:fill="auto"/>
            <w:tcMar>
              <w:left w:w="108" w:type="dxa"/>
              <w:right w:w="108" w:type="dxa"/>
            </w:tcMar>
            <w:vAlign w:val="center"/>
          </w:tcPr>
          <w:p w14:paraId="26879E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69FF08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14:paraId="7A14D9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7CD22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5A971F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6B8D9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7D1ED1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16FF6E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A0DD161">
            <w:pPr>
              <w:rPr>
                <w:rFonts w:ascii="黑体" w:hAnsi="黑体" w:eastAsia="黑体"/>
                <w:szCs w:val="21"/>
              </w:rPr>
            </w:pPr>
          </w:p>
        </w:tc>
        <w:tc>
          <w:tcPr>
            <w:tcW w:w="1701" w:type="dxa"/>
            <w:vMerge w:val="continue"/>
            <w:shd w:val="clear" w:color="auto" w:fill="auto"/>
            <w:tcMar>
              <w:left w:w="108" w:type="dxa"/>
              <w:right w:w="108" w:type="dxa"/>
            </w:tcMar>
            <w:vAlign w:val="center"/>
          </w:tcPr>
          <w:p w14:paraId="4826490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FE310F4">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4"/>
            <w:shd w:val="clear" w:color="auto" w:fill="auto"/>
            <w:tcMar>
              <w:left w:w="108" w:type="dxa"/>
              <w:right w:w="108" w:type="dxa"/>
            </w:tcMar>
            <w:vAlign w:val="center"/>
          </w:tcPr>
          <w:p w14:paraId="3A755BB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4A244C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14:paraId="76DA82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1D1CD7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EAA05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86A97F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668F0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0EC279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0ECD706F">
            <w:pPr>
              <w:rPr>
                <w:rFonts w:ascii="黑体" w:hAnsi="黑体" w:eastAsia="黑体"/>
                <w:szCs w:val="21"/>
              </w:rPr>
            </w:pPr>
          </w:p>
        </w:tc>
        <w:tc>
          <w:tcPr>
            <w:tcW w:w="1701" w:type="dxa"/>
            <w:vMerge w:val="continue"/>
            <w:shd w:val="clear" w:color="auto" w:fill="auto"/>
            <w:tcMar>
              <w:left w:w="108" w:type="dxa"/>
              <w:right w:w="108" w:type="dxa"/>
            </w:tcMar>
            <w:vAlign w:val="center"/>
          </w:tcPr>
          <w:p w14:paraId="471F3BD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177CB34">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4"/>
            <w:shd w:val="clear" w:color="auto" w:fill="auto"/>
            <w:tcMar>
              <w:left w:w="108" w:type="dxa"/>
              <w:right w:w="108" w:type="dxa"/>
            </w:tcMar>
            <w:vAlign w:val="center"/>
          </w:tcPr>
          <w:p w14:paraId="66FE83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1622C5C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14:paraId="137F0C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4603F4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A84A3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2EFC31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DC703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6BCB55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7CD8EB7">
            <w:pPr>
              <w:rPr>
                <w:rFonts w:ascii="黑体" w:hAnsi="黑体" w:eastAsia="黑体"/>
                <w:szCs w:val="21"/>
              </w:rPr>
            </w:pPr>
          </w:p>
        </w:tc>
        <w:tc>
          <w:tcPr>
            <w:tcW w:w="1701" w:type="dxa"/>
            <w:vMerge w:val="continue"/>
            <w:shd w:val="clear" w:color="auto" w:fill="auto"/>
            <w:tcMar>
              <w:left w:w="108" w:type="dxa"/>
              <w:right w:w="108" w:type="dxa"/>
            </w:tcMar>
            <w:vAlign w:val="center"/>
          </w:tcPr>
          <w:p w14:paraId="15B893B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08502FC">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5FB063CB">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4"/>
            <w:shd w:val="clear" w:color="auto" w:fill="auto"/>
            <w:tcMar>
              <w:left w:w="108" w:type="dxa"/>
              <w:right w:w="108" w:type="dxa"/>
            </w:tcMar>
            <w:vAlign w:val="center"/>
          </w:tcPr>
          <w:p w14:paraId="5250CE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72142C9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14:paraId="3A3466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F12A6F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769D9A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CE3620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56664C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661E35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85581A6">
            <w:pPr>
              <w:rPr>
                <w:rFonts w:ascii="黑体" w:hAnsi="黑体" w:eastAsia="黑体"/>
                <w:szCs w:val="21"/>
              </w:rPr>
            </w:pPr>
          </w:p>
        </w:tc>
        <w:tc>
          <w:tcPr>
            <w:tcW w:w="1701" w:type="dxa"/>
            <w:vMerge w:val="restart"/>
            <w:shd w:val="clear" w:color="auto" w:fill="auto"/>
            <w:tcMar>
              <w:left w:w="108" w:type="dxa"/>
              <w:right w:w="108" w:type="dxa"/>
            </w:tcMar>
            <w:vAlign w:val="center"/>
          </w:tcPr>
          <w:p w14:paraId="0443D16F">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1C7AAB5D">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5"/>
            <w:shd w:val="clear" w:color="auto" w:fill="auto"/>
            <w:tcMar>
              <w:left w:w="108" w:type="dxa"/>
              <w:right w:w="108" w:type="dxa"/>
            </w:tcMar>
            <w:vAlign w:val="center"/>
          </w:tcPr>
          <w:p w14:paraId="7E597D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7D44F6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14:paraId="030849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054569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666338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2EC656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D814A7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093BAD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FD5CCE7">
            <w:pPr>
              <w:rPr>
                <w:rFonts w:ascii="黑体" w:hAnsi="黑体" w:eastAsia="黑体"/>
                <w:szCs w:val="21"/>
              </w:rPr>
            </w:pPr>
          </w:p>
        </w:tc>
        <w:tc>
          <w:tcPr>
            <w:tcW w:w="1701" w:type="dxa"/>
            <w:vMerge w:val="continue"/>
            <w:shd w:val="clear" w:color="auto" w:fill="auto"/>
            <w:tcMar>
              <w:left w:w="108" w:type="dxa"/>
              <w:right w:w="108" w:type="dxa"/>
            </w:tcMar>
            <w:vAlign w:val="center"/>
          </w:tcPr>
          <w:p w14:paraId="118F7CAC">
            <w:pPr>
              <w:widowControl/>
              <w:spacing w:line="300" w:lineRule="exact"/>
              <w:rPr>
                <w:rFonts w:ascii="黑体" w:hAnsi="黑体" w:eastAsia="黑体"/>
                <w:kern w:val="0"/>
                <w:szCs w:val="21"/>
              </w:rPr>
            </w:pPr>
          </w:p>
        </w:tc>
        <w:tc>
          <w:tcPr>
            <w:tcW w:w="2976" w:type="dxa"/>
            <w:shd w:val="clear" w:color="auto" w:fill="auto"/>
            <w:vAlign w:val="center"/>
          </w:tcPr>
          <w:p w14:paraId="36AA8612">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5"/>
            <w:shd w:val="clear" w:color="auto" w:fill="auto"/>
            <w:tcMar>
              <w:left w:w="108" w:type="dxa"/>
              <w:right w:w="108" w:type="dxa"/>
            </w:tcMar>
            <w:vAlign w:val="center"/>
          </w:tcPr>
          <w:p w14:paraId="5A57EB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064F3A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14:paraId="6AFB78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06A50BC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6B9D8D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E58AC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4BC587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A8CEF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6604900">
            <w:pPr>
              <w:rPr>
                <w:rFonts w:ascii="黑体" w:hAnsi="黑体" w:eastAsia="黑体"/>
                <w:szCs w:val="21"/>
              </w:rPr>
            </w:pPr>
          </w:p>
        </w:tc>
        <w:tc>
          <w:tcPr>
            <w:tcW w:w="1701" w:type="dxa"/>
            <w:vMerge w:val="continue"/>
            <w:shd w:val="clear" w:color="auto" w:fill="auto"/>
            <w:tcMar>
              <w:left w:w="108" w:type="dxa"/>
              <w:right w:w="108" w:type="dxa"/>
            </w:tcMar>
            <w:vAlign w:val="center"/>
          </w:tcPr>
          <w:p w14:paraId="29619B61">
            <w:pPr>
              <w:widowControl/>
              <w:spacing w:line="300" w:lineRule="exact"/>
              <w:rPr>
                <w:rFonts w:ascii="黑体" w:hAnsi="黑体" w:eastAsia="黑体"/>
                <w:kern w:val="0"/>
                <w:szCs w:val="21"/>
              </w:rPr>
            </w:pPr>
          </w:p>
        </w:tc>
        <w:tc>
          <w:tcPr>
            <w:tcW w:w="2976" w:type="dxa"/>
            <w:shd w:val="clear" w:color="auto" w:fill="auto"/>
            <w:vAlign w:val="center"/>
          </w:tcPr>
          <w:p w14:paraId="6D634CE6">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5"/>
            <w:shd w:val="clear" w:color="auto" w:fill="auto"/>
            <w:tcMar>
              <w:left w:w="108" w:type="dxa"/>
              <w:right w:w="108" w:type="dxa"/>
            </w:tcMar>
            <w:vAlign w:val="center"/>
          </w:tcPr>
          <w:p w14:paraId="29500F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14:paraId="0F8DA21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14:paraId="4C9915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70D85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132D32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431F61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ADF13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25B7A7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368C808">
            <w:pPr>
              <w:rPr>
                <w:rFonts w:ascii="黑体" w:hAnsi="黑体" w:eastAsia="黑体"/>
                <w:szCs w:val="21"/>
              </w:rPr>
            </w:pPr>
          </w:p>
        </w:tc>
        <w:tc>
          <w:tcPr>
            <w:tcW w:w="4677" w:type="dxa"/>
            <w:gridSpan w:val="2"/>
            <w:shd w:val="clear" w:color="auto" w:fill="auto"/>
            <w:tcMar>
              <w:left w:w="108" w:type="dxa"/>
              <w:right w:w="108" w:type="dxa"/>
            </w:tcMar>
            <w:vAlign w:val="center"/>
          </w:tcPr>
          <w:p w14:paraId="30FEEFDE">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2"/>
            <w:shd w:val="clear" w:color="auto" w:fill="auto"/>
            <w:tcMar>
              <w:left w:w="108" w:type="dxa"/>
              <w:right w:w="108" w:type="dxa"/>
            </w:tcMar>
            <w:vAlign w:val="center"/>
          </w:tcPr>
          <w:p w14:paraId="2D46AC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10</w:t>
            </w:r>
          </w:p>
        </w:tc>
        <w:tc>
          <w:tcPr>
            <w:tcW w:w="539" w:type="dxa"/>
            <w:gridSpan w:val="7"/>
            <w:shd w:val="clear" w:color="auto" w:fill="auto"/>
            <w:tcMar>
              <w:left w:w="108" w:type="dxa"/>
              <w:right w:w="108" w:type="dxa"/>
            </w:tcMar>
            <w:vAlign w:val="center"/>
          </w:tcPr>
          <w:p w14:paraId="3E6D97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72D81B8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2B409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2BD6D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28DF25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18DE7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10</w:t>
            </w:r>
          </w:p>
        </w:tc>
      </w:tr>
      <w:tr w14:paraId="30B208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0987D666">
            <w:pPr>
              <w:widowControl/>
              <w:spacing w:line="300" w:lineRule="exact"/>
              <w:rPr>
                <w:rFonts w:ascii="黑体" w:hAnsi="黑体" w:eastAsia="黑体"/>
                <w:kern w:val="0"/>
                <w:szCs w:val="21"/>
              </w:rPr>
            </w:pPr>
            <w:r>
              <w:rPr>
                <w:rFonts w:hint="eastAsia" w:ascii="黑体" w:hAnsi="黑体" w:eastAsia="黑体"/>
                <w:color w:val="auto"/>
                <w:kern w:val="0"/>
                <w:szCs w:val="21"/>
              </w:rPr>
              <w:t>四、结转下年度继续办理</w:t>
            </w:r>
          </w:p>
        </w:tc>
        <w:tc>
          <w:tcPr>
            <w:tcW w:w="761" w:type="dxa"/>
            <w:gridSpan w:val="2"/>
            <w:shd w:val="clear" w:color="auto" w:fill="auto"/>
            <w:tcMar>
              <w:left w:w="108" w:type="dxa"/>
              <w:right w:w="108" w:type="dxa"/>
            </w:tcMar>
            <w:vAlign w:val="center"/>
          </w:tcPr>
          <w:p w14:paraId="7C184C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c>
          <w:tcPr>
            <w:tcW w:w="539" w:type="dxa"/>
            <w:gridSpan w:val="7"/>
            <w:shd w:val="clear" w:color="auto" w:fill="auto"/>
            <w:tcMar>
              <w:left w:w="108" w:type="dxa"/>
              <w:right w:w="108" w:type="dxa"/>
            </w:tcMar>
            <w:vAlign w:val="center"/>
          </w:tcPr>
          <w:p w14:paraId="036B9D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25784E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440B3D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EDC65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291F4F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2B985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r>
    </w:tbl>
    <w:p w14:paraId="58A2591A">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2"/>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0A987C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11DD110">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91AAF0E">
            <w:pPr>
              <w:widowControl/>
              <w:jc w:val="center"/>
              <w:rPr>
                <w:rFonts w:ascii="黑体" w:hAnsi="黑体" w:eastAsia="黑体"/>
              </w:rPr>
            </w:pPr>
            <w:r>
              <w:rPr>
                <w:rFonts w:ascii="黑体" w:hAnsi="黑体" w:eastAsia="黑体"/>
                <w:kern w:val="0"/>
                <w:sz w:val="20"/>
                <w:szCs w:val="20"/>
              </w:rPr>
              <w:t>行政诉讼</w:t>
            </w:r>
          </w:p>
        </w:tc>
      </w:tr>
      <w:tr w14:paraId="46C8F1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C9CC0C">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1E949144">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63E1DDB6">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2F53A8A">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75D81C4">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6D44E89B">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1E17EB6">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06B9A273">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DBDBB2A">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CCBB686">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5218844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00FF626">
            <w:pPr>
              <w:jc w:val="cente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705BC1B">
            <w:pPr>
              <w:jc w:val="cente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22A2445">
            <w:pPr>
              <w:jc w:val="cente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BF579B">
            <w:pPr>
              <w:jc w:val="cente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66C25FA">
            <w:pPr>
              <w:jc w:val="cente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77960E0E">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01CC0CD">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2EB5C2">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3F9CF03A">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5249197">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4E95BB4F">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5C6AFB">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5838178">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EE9EAF3">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51106D6B">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58ACD0C">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19B07100">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915E1C">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3429264">
            <w:pPr>
              <w:widowControl/>
              <w:jc w:val="center"/>
              <w:rPr>
                <w:rFonts w:ascii="黑体" w:hAnsi="黑体" w:eastAsia="黑体"/>
              </w:rPr>
            </w:pPr>
            <w:r>
              <w:rPr>
                <w:rFonts w:ascii="黑体" w:hAnsi="黑体" w:eastAsia="黑体"/>
                <w:kern w:val="0"/>
                <w:sz w:val="20"/>
                <w:szCs w:val="20"/>
              </w:rPr>
              <w:t>总计</w:t>
            </w:r>
          </w:p>
        </w:tc>
      </w:tr>
      <w:tr w14:paraId="06FA34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80"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E84D396">
            <w:pPr>
              <w:jc w:val="center"/>
              <w:rPr>
                <w:rFonts w:hint="eastAsia"/>
                <w:lang w:val="en-US" w:eastAsia="zh-CN"/>
              </w:rPr>
            </w:pPr>
            <w:r>
              <w:rPr>
                <w:rFonts w:hint="eastAsia"/>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BB676C2">
            <w:pPr>
              <w:jc w:val="center"/>
              <w:rPr>
                <w:rFonts w:hint="eastAsia"/>
                <w:lang w:val="en-US" w:eastAsia="zh-CN"/>
              </w:rPr>
            </w:pPr>
            <w:r>
              <w:rPr>
                <w:rFonts w:hint="eastAsia"/>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BF0EF1F">
            <w:pPr>
              <w:jc w:val="center"/>
              <w:rPr>
                <w:rFonts w:hint="eastAsia"/>
                <w:lang w:val="en-US" w:eastAsia="zh-CN"/>
              </w:rPr>
            </w:pPr>
            <w:r>
              <w:rPr>
                <w:rFonts w:hint="eastAsia"/>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4A89B3C2">
            <w:pPr>
              <w:jc w:val="center"/>
              <w:rPr>
                <w:rFonts w:hint="eastAsia"/>
                <w:lang w:val="en-US" w:eastAsia="zh-CN"/>
              </w:rPr>
            </w:pPr>
            <w:r>
              <w:rPr>
                <w:rFonts w:hint="eastAsia"/>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0E428044">
            <w:pPr>
              <w:jc w:val="center"/>
              <w:rPr>
                <w:rFonts w:hint="eastAsia"/>
                <w:lang w:val="en-US" w:eastAsia="zh-CN"/>
              </w:rPr>
            </w:pPr>
            <w:r>
              <w:rPr>
                <w:rFonts w:hint="eastAsia"/>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04AE238">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605B2A4">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C9CB4E1">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5CAC2EE">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3657514">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1C16DAD">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FED6F6E">
            <w:pPr>
              <w:jc w:val="center"/>
              <w:rPr>
                <w:rFonts w:hint="eastAsia"/>
                <w:lang w:val="en-US" w:eastAsia="zh-CN"/>
              </w:rPr>
            </w:pPr>
            <w:r>
              <w:rPr>
                <w:rFonts w:hint="eastAsia"/>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D68BDA3">
            <w:pPr>
              <w:jc w:val="center"/>
              <w:rPr>
                <w:rFonts w:hint="eastAsia"/>
                <w:lang w:val="en-US" w:eastAsia="zh-CN"/>
              </w:rPr>
            </w:pPr>
            <w:r>
              <w:rPr>
                <w:rFonts w:hint="eastAsia"/>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016BA44">
            <w:pPr>
              <w:jc w:val="center"/>
              <w:rPr>
                <w:rFonts w:hint="eastAsia"/>
                <w:lang w:val="en-US" w:eastAsia="zh-CN"/>
              </w:rPr>
            </w:pPr>
            <w:r>
              <w:rPr>
                <w:rFonts w:hint="eastAsia"/>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1AB80B30">
            <w:pPr>
              <w:jc w:val="center"/>
              <w:rPr>
                <w:rFonts w:hint="eastAsia"/>
                <w:lang w:val="en-US" w:eastAsia="zh-CN"/>
              </w:rPr>
            </w:pPr>
            <w:r>
              <w:rPr>
                <w:rFonts w:hint="eastAsia"/>
                <w:lang w:val="en-US" w:eastAsia="zh-CN"/>
              </w:rPr>
              <w:t>0</w:t>
            </w:r>
          </w:p>
        </w:tc>
      </w:tr>
    </w:tbl>
    <w:p w14:paraId="7D0B7A4B">
      <w:pPr>
        <w:widowControl/>
        <w:jc w:val="left"/>
        <w:rPr>
          <w:rFonts w:hint="eastAsia" w:ascii="仿宋_GB2312" w:hAnsi="Calibri" w:eastAsia="仿宋_GB2312" w:cs="Calibri"/>
          <w:color w:val="FF0000"/>
          <w:kern w:val="0"/>
          <w:szCs w:val="21"/>
          <w:lang w:val="en-US" w:eastAsia="zh-CN"/>
        </w:rPr>
      </w:pPr>
    </w:p>
    <w:p w14:paraId="6798C1BB">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34E574E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pPr>
      <w:r>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t>存在的主要问题：一是政务公开专区建设管理水平仍需提高，要在专区规范设置、便民服务上下功夫。二是对政策文件的解读还不够深入、不够多样化。三是政务公开工作还存在一定局限性，与其他重点工作有机融合还有待加强。下一步，我们将从以下三方面改进提升：一是开展政务公开专区设置、服务事项、群众满意度等走访调研活动，完善专区各项功能，切实为群众提供实际有用、便捷高效的线下服务。二是大胆创新解读形式，深刻剖析解读内容，增加解读的灵活性、趣味性和有效性，通过解读让群众看得懂，记得住。三是积极探索政务公开与优化营商环境、服务市场主体、畅通政企桥梁、社会信用建设、保障经济发展等各领域工作的有机融合，从小切口入手以点带面，不断提升我区政务公开工作整体水平。</w:t>
      </w:r>
    </w:p>
    <w:p w14:paraId="4EF0E0F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FF0000"/>
          <w:spacing w:val="0"/>
          <w:kern w:val="2"/>
          <w:sz w:val="32"/>
          <w:szCs w:val="32"/>
          <w:shd w:val="clear" w:fill="FFFFFF"/>
          <w:lang w:val="en-US" w:eastAsia="zh-CN" w:bidi="ar-SA"/>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61F7D122">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u w:val="single"/>
          <w:lang w:val="en-US" w:eastAsia="zh-CN"/>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环翠区人民政府办公室</w:t>
      </w:r>
      <w:r>
        <w:rPr>
          <w:rFonts w:hint="default" w:ascii="Times New Roman" w:hAnsi="Times New Roman" w:eastAsia="仿宋_GB2312" w:cs="Times New Roman"/>
          <w:sz w:val="32"/>
          <w:szCs w:val="32"/>
        </w:rPr>
        <w:t>未收取政府信息公开信息处理费</w:t>
      </w:r>
      <w:r>
        <w:rPr>
          <w:rFonts w:hint="eastAsia" w:ascii="Times New Roman" w:hAnsi="Times New Roman" w:eastAsia="仿宋_GB2312" w:cs="Times New Roman"/>
          <w:sz w:val="32"/>
          <w:szCs w:val="32"/>
          <w:u w:val="none"/>
          <w:lang w:val="en-US" w:eastAsia="zh-CN"/>
        </w:rPr>
        <w:t>。</w:t>
      </w:r>
    </w:p>
    <w:p w14:paraId="29EE0272">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lang w:val="en-US" w:eastAsia="zh-CN"/>
        </w:rPr>
        <w:t>环翠区人民政府办公室</w:t>
      </w:r>
      <w:r>
        <w:rPr>
          <w:rFonts w:hint="eastAsia" w:ascii="Times New Roman" w:hAnsi="Times New Roman" w:eastAsia="仿宋_GB2312" w:cs="Times New Roman"/>
          <w:sz w:val="32"/>
          <w:szCs w:val="32"/>
          <w:highlight w:val="none"/>
          <w:lang w:val="en-US" w:eastAsia="zh-CN"/>
        </w:rPr>
        <w:t>未</w:t>
      </w:r>
      <w:r>
        <w:rPr>
          <w:rFonts w:hint="default" w:ascii="Times New Roman" w:hAnsi="Times New Roman" w:eastAsia="仿宋_GB2312" w:cs="Times New Roman"/>
          <w:sz w:val="32"/>
          <w:szCs w:val="32"/>
          <w:highlight w:val="none"/>
        </w:rPr>
        <w:t>承办人大代表建议、政协提案</w:t>
      </w:r>
      <w:r>
        <w:rPr>
          <w:rFonts w:hint="eastAsia" w:ascii="Times New Roman" w:hAnsi="Times New Roman" w:eastAsia="仿宋_GB2312" w:cs="Times New Roman"/>
          <w:sz w:val="32"/>
          <w:szCs w:val="32"/>
          <w:highlight w:val="none"/>
          <w:lang w:val="en-US" w:eastAsia="zh-CN"/>
        </w:rPr>
        <w:t>办理</w:t>
      </w:r>
      <w:r>
        <w:rPr>
          <w:rFonts w:hint="default" w:ascii="Times New Roman" w:hAnsi="Times New Roman" w:eastAsia="仿宋_GB2312" w:cs="Times New Roman"/>
          <w:sz w:val="32"/>
          <w:szCs w:val="32"/>
          <w:highlight w:val="none"/>
        </w:rPr>
        <w:t>。</w:t>
      </w:r>
    </w:p>
    <w:p w14:paraId="73F6A123">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楷体_GB2312" w:cs="Times New Roman"/>
          <w:color w:val="auto"/>
          <w:kern w:val="0"/>
          <w:sz w:val="32"/>
          <w:szCs w:val="32"/>
          <w:lang w:val="en-US" w:eastAsia="zh-CN" w:bidi="ar-SA"/>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eastAsia" w:ascii="Times New Roman" w:hAnsi="Times New Roman" w:eastAsia="仿宋_GB2312" w:cs="Times New Roman"/>
          <w:color w:val="auto"/>
          <w:sz w:val="32"/>
          <w:szCs w:val="32"/>
          <w:lang w:val="en-US" w:eastAsia="zh-CN"/>
        </w:rPr>
        <w:t>依据《山东省人民政府办公厅关于印发2024年山东省政务公开工作要点的通知》（鲁政办发〔2024〕2 号），结合威海市政务公开工作要求，全力做好本区政策文件在省政策文件库的录入与更新。确保录入文件要素完备、格式合规。严格遵循《中华人民共和国政府信息公开条例》等法规文件，完善依申请公开工作全流程管理，包括登记、协查、会签、归档等环节，细化程序、标准与责任分工。强化部门间协同合作，依法依规、及时准确答复反馈。深入贯彻围绕民生相关议题邀请利益相关方及市民代表列席政府常务会议的制度，认真记录代表所提意见建议，并及时反馈处理进展。</w:t>
      </w:r>
    </w:p>
    <w:p w14:paraId="1A961A0C">
      <w:pPr>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color w:val="FF0000"/>
          <w:sz w:val="32"/>
          <w:szCs w:val="32"/>
          <w:lang w:val="en-US" w:eastAsia="zh-CN"/>
        </w:rPr>
      </w:pP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b5cee1e6-9658-48b7-968e-eabf44c90a19"/>
  </w:docVars>
  <w:rsids>
    <w:rsidRoot w:val="11AF18C8"/>
    <w:rsid w:val="08D157AC"/>
    <w:rsid w:val="0EB9637E"/>
    <w:rsid w:val="11AF18C8"/>
    <w:rsid w:val="19A07E7C"/>
    <w:rsid w:val="1A6A77C7"/>
    <w:rsid w:val="1BC05B33"/>
    <w:rsid w:val="21E9640B"/>
    <w:rsid w:val="25793642"/>
    <w:rsid w:val="2B3A2B5E"/>
    <w:rsid w:val="3FFB8F66"/>
    <w:rsid w:val="40907B01"/>
    <w:rsid w:val="464F74E8"/>
    <w:rsid w:val="4B595AED"/>
    <w:rsid w:val="4C433625"/>
    <w:rsid w:val="4F8627FB"/>
    <w:rsid w:val="511E6463"/>
    <w:rsid w:val="54F23AC6"/>
    <w:rsid w:val="56F344A5"/>
    <w:rsid w:val="58AA4307"/>
    <w:rsid w:val="61B21D1F"/>
    <w:rsid w:val="68C9088B"/>
    <w:rsid w:val="6AE12B83"/>
    <w:rsid w:val="6C7C7FF0"/>
    <w:rsid w:val="6CFE55F1"/>
    <w:rsid w:val="705A5FE8"/>
    <w:rsid w:val="7327796A"/>
    <w:rsid w:val="77181135"/>
    <w:rsid w:val="77927421"/>
    <w:rsid w:val="7E2277F5"/>
    <w:rsid w:val="7F857B2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2792</Words>
  <Characters>2936</Characters>
  <Lines>0</Lines>
  <Paragraphs>0</Paragraphs>
  <TotalTime>34</TotalTime>
  <ScaleCrop>false</ScaleCrop>
  <LinksUpToDate>false</LinksUpToDate>
  <CharactersWithSpaces>2937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檬</cp:lastModifiedBy>
  <cp:lastPrinted>2025-01-13T09:12:00Z</cp:lastPrinted>
  <dcterms:modified xsi:type="dcterms:W3CDTF">2025-01-16T01:43:04Z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2AB5CB06459044F58B04FEADF113815D_13</vt:lpwstr>
  </property>
  <property fmtid="{D5CDD505-2E9C-101B-9397-08002B2CF9AE}" pid="4" name="KSOTemplateDocerSaveRecord">
    <vt:lpwstr>eyJoZGlkIjoiYjk5ODM0YmMxOWJiYWQyNDU4MGIzYWRmYTA0ZmI5NDciLCJ1c2VySWQiOiIzMDA2Nzk4OTAifQ==</vt:lpwstr>
  </property>
</Properties>
</file>