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14"/>
          <w:rFonts w:ascii="Times New Roman" w:hAnsi="Times New Roman"/>
          <w:color w:val="auto"/>
        </w:rPr>
      </w:pPr>
      <w:bookmarkStart w:id="0" w:name="_GoBack"/>
      <w:bookmarkEnd w:id="0"/>
      <w:r>
        <w:rPr>
          <w:rStyle w:val="13"/>
          <w:rFonts w:ascii="Times New Roman" w:hAnsi="Times New Roman"/>
          <w:color w:val="auto"/>
        </w:rPr>
        <w:t>201</w:t>
      </w:r>
      <w:r>
        <w:rPr>
          <w:rStyle w:val="13"/>
          <w:rFonts w:hint="eastAsia" w:ascii="Times New Roman" w:hAnsi="Times New Roman" w:eastAsia="宋体"/>
          <w:color w:val="auto"/>
          <w:lang w:val="en-US" w:eastAsia="zh-CN"/>
        </w:rPr>
        <w:t>6</w:t>
      </w:r>
      <w:r>
        <w:rPr>
          <w:rStyle w:val="14"/>
          <w:rFonts w:ascii="Times New Roman" w:hAnsi="Times New Roman"/>
          <w:color w:val="auto"/>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15"/>
          <w:rFonts w:hint="eastAsia" w:ascii="Times New Roman" w:hAnsi="Times New Roman" w:eastAsia="楷体_GB2312" w:cs="楷体_GB2312"/>
          <w:color w:val="auto"/>
          <w:lang w:val="en-US" w:eastAsia="zh-CN"/>
        </w:rPr>
      </w:pPr>
      <w:r>
        <w:rPr>
          <w:rStyle w:val="15"/>
          <w:rFonts w:hint="eastAsia" w:ascii="Times New Roman" w:hAnsi="Times New Roman" w:eastAsia="楷体_GB2312" w:cs="楷体_GB2312"/>
          <w:color w:val="auto"/>
          <w:lang w:val="en-US" w:eastAsia="zh-CN"/>
        </w:rPr>
        <w:t>环翠区发展和改革局（物价局）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15"/>
          <w:rFonts w:hint="eastAsia" w:ascii="Times New Roman" w:hAnsi="Times New Roman" w:eastAsia="楷体_GB2312" w:cs="楷体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Style w:val="15"/>
          <w:rFonts w:ascii="Times New Roman" w:hAnsi="Times New Roman"/>
          <w:color w:val="auto"/>
        </w:rPr>
      </w:pPr>
      <w:r>
        <w:rPr>
          <w:rStyle w:val="15"/>
          <w:rFonts w:hint="eastAsia" w:ascii="Times New Roman" w:hAnsi="Times New Roman" w:eastAsia="仿宋_GB2312"/>
          <w:color w:val="auto"/>
          <w:lang w:val="en-US" w:eastAsia="zh-CN"/>
        </w:rPr>
        <w:t xml:space="preserve">     </w:t>
      </w:r>
      <w:r>
        <w:rPr>
          <w:rStyle w:val="15"/>
          <w:rFonts w:ascii="Times New Roman" w:hAnsi="Times New Roman"/>
          <w:color w:val="auto"/>
        </w:rPr>
        <w:t>根据《中华人民共和国政府信息公开条例》（以下简称《条例》）和《山东省政府信息公开办法》（以下简称《办法》）规定的要求，结合贯彻落实《</w:t>
      </w:r>
      <w:r>
        <w:rPr>
          <w:rStyle w:val="15"/>
          <w:rFonts w:hint="eastAsia" w:ascii="Times New Roman" w:hAnsi="Times New Roman" w:eastAsia="仿宋_GB2312"/>
          <w:color w:val="auto"/>
          <w:lang w:eastAsia="zh-CN"/>
        </w:rPr>
        <w:t>威海市环翠区</w:t>
      </w:r>
      <w:r>
        <w:rPr>
          <w:rStyle w:val="15"/>
          <w:rFonts w:ascii="Times New Roman" w:hAnsi="Times New Roman"/>
          <w:color w:val="auto"/>
        </w:rPr>
        <w:t>人民政府办公室关于</w:t>
      </w:r>
      <w:r>
        <w:rPr>
          <w:rStyle w:val="15"/>
          <w:rFonts w:hint="eastAsia" w:ascii="Times New Roman" w:hAnsi="Times New Roman" w:eastAsia="仿宋_GB2312"/>
          <w:color w:val="auto"/>
          <w:lang w:eastAsia="zh-CN"/>
        </w:rPr>
        <w:t>做好</w:t>
      </w:r>
      <w:r>
        <w:rPr>
          <w:rStyle w:val="15"/>
          <w:rFonts w:hint="eastAsia" w:ascii="Times New Roman" w:hAnsi="Times New Roman" w:eastAsia="仿宋_GB2312"/>
          <w:color w:val="auto"/>
          <w:lang w:val="en-US" w:eastAsia="zh-CN"/>
        </w:rPr>
        <w:t>2016年度政府信息公开工作年度报告编制工作的通知</w:t>
      </w:r>
      <w:r>
        <w:rPr>
          <w:rStyle w:val="15"/>
          <w:rFonts w:ascii="Times New Roman" w:hAnsi="Times New Roman"/>
          <w:color w:val="auto"/>
        </w:rPr>
        <w:t>》，现公布</w:t>
      </w:r>
      <w:r>
        <w:rPr>
          <w:rStyle w:val="15"/>
          <w:rFonts w:hint="eastAsia" w:ascii="Times New Roman" w:hAnsi="Times New Roman" w:eastAsia="仿宋_GB2312"/>
          <w:color w:val="auto"/>
          <w:lang w:eastAsia="zh-CN"/>
        </w:rPr>
        <w:t>环翠区</w:t>
      </w:r>
      <w:r>
        <w:rPr>
          <w:rStyle w:val="15"/>
          <w:rFonts w:ascii="Times New Roman" w:hAnsi="Times New Roman"/>
          <w:color w:val="auto"/>
        </w:rPr>
        <w:t>发展和改革</w:t>
      </w:r>
      <w:r>
        <w:rPr>
          <w:rStyle w:val="15"/>
          <w:rFonts w:hint="eastAsia" w:ascii="Times New Roman" w:hAnsi="Times New Roman" w:eastAsia="仿宋_GB2312"/>
          <w:color w:val="auto"/>
          <w:lang w:eastAsia="zh-CN"/>
        </w:rPr>
        <w:t>局</w:t>
      </w:r>
      <w:r>
        <w:rPr>
          <w:rStyle w:val="15"/>
          <w:rFonts w:ascii="Times New Roman" w:hAnsi="Times New Roman"/>
          <w:color w:val="auto"/>
        </w:rPr>
        <w:t xml:space="preserve"> </w:t>
      </w:r>
      <w:r>
        <w:rPr>
          <w:rStyle w:val="13"/>
          <w:rFonts w:ascii="Times New Roman" w:hAnsi="Times New Roman"/>
          <w:color w:val="auto"/>
          <w:sz w:val="32"/>
          <w:szCs w:val="32"/>
        </w:rPr>
        <w:t>201</w:t>
      </w:r>
      <w:r>
        <w:rPr>
          <w:rStyle w:val="13"/>
          <w:rFonts w:hint="eastAsia" w:ascii="Times New Roman" w:hAnsi="Times New Roman" w:eastAsia="宋体"/>
          <w:color w:val="auto"/>
          <w:sz w:val="32"/>
          <w:szCs w:val="32"/>
          <w:lang w:val="en-US" w:eastAsia="zh-CN"/>
        </w:rPr>
        <w:t>6</w:t>
      </w:r>
      <w:r>
        <w:rPr>
          <w:rStyle w:val="15"/>
          <w:rFonts w:ascii="Times New Roman" w:hAnsi="Times New Roman"/>
          <w:color w:val="auto"/>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Style w:val="15"/>
          <w:rFonts w:ascii="Times New Roman" w:hAnsi="Times New Roman"/>
          <w:color w:val="auto"/>
        </w:rPr>
      </w:pPr>
      <w:r>
        <w:rPr>
          <w:rStyle w:val="15"/>
          <w:rFonts w:ascii="Times New Roman" w:hAnsi="Times New Roman"/>
          <w:color w:val="auto"/>
        </w:rPr>
        <w:t xml:space="preserve">本报告中所列数据的统计时限自 </w:t>
      </w:r>
      <w:r>
        <w:rPr>
          <w:rStyle w:val="13"/>
          <w:rFonts w:ascii="Times New Roman" w:hAnsi="Times New Roman"/>
          <w:color w:val="auto"/>
          <w:sz w:val="32"/>
          <w:szCs w:val="32"/>
        </w:rPr>
        <w:t>201</w:t>
      </w:r>
      <w:r>
        <w:rPr>
          <w:rStyle w:val="13"/>
          <w:rFonts w:hint="eastAsia" w:ascii="Times New Roman" w:hAnsi="Times New Roman" w:eastAsia="宋体"/>
          <w:color w:val="auto"/>
          <w:sz w:val="32"/>
          <w:szCs w:val="32"/>
          <w:lang w:val="en-US" w:eastAsia="zh-CN"/>
        </w:rPr>
        <w:t>6</w:t>
      </w:r>
      <w:r>
        <w:rPr>
          <w:rStyle w:val="15"/>
          <w:rFonts w:ascii="Times New Roman" w:hAnsi="Times New Roman"/>
          <w:color w:val="auto"/>
        </w:rPr>
        <w:t>年</w:t>
      </w:r>
      <w:r>
        <w:rPr>
          <w:rStyle w:val="13"/>
          <w:rFonts w:ascii="Times New Roman" w:hAnsi="Times New Roman"/>
          <w:color w:val="auto"/>
          <w:sz w:val="32"/>
          <w:szCs w:val="32"/>
        </w:rPr>
        <w:t>1</w:t>
      </w:r>
      <w:r>
        <w:rPr>
          <w:rStyle w:val="15"/>
          <w:rFonts w:ascii="Times New Roman" w:hAnsi="Times New Roman"/>
          <w:color w:val="auto"/>
        </w:rPr>
        <w:t>月</w:t>
      </w:r>
      <w:r>
        <w:rPr>
          <w:rStyle w:val="13"/>
          <w:rFonts w:ascii="Times New Roman" w:hAnsi="Times New Roman"/>
          <w:color w:val="auto"/>
          <w:sz w:val="32"/>
          <w:szCs w:val="32"/>
        </w:rPr>
        <w:t>1</w:t>
      </w:r>
      <w:r>
        <w:rPr>
          <w:rStyle w:val="15"/>
          <w:rFonts w:ascii="Times New Roman" w:hAnsi="Times New Roman"/>
          <w:color w:val="auto"/>
        </w:rPr>
        <w:t>日起至</w:t>
      </w:r>
      <w:r>
        <w:rPr>
          <w:rStyle w:val="13"/>
          <w:rFonts w:ascii="Times New Roman" w:hAnsi="Times New Roman"/>
          <w:color w:val="auto"/>
          <w:sz w:val="32"/>
          <w:szCs w:val="32"/>
        </w:rPr>
        <w:t>201</w:t>
      </w:r>
      <w:r>
        <w:rPr>
          <w:rStyle w:val="13"/>
          <w:rFonts w:hint="eastAsia" w:ascii="Times New Roman" w:hAnsi="Times New Roman" w:eastAsia="宋体"/>
          <w:color w:val="auto"/>
          <w:sz w:val="32"/>
          <w:szCs w:val="32"/>
          <w:lang w:val="en-US" w:eastAsia="zh-CN"/>
        </w:rPr>
        <w:t>6</w:t>
      </w:r>
      <w:r>
        <w:rPr>
          <w:rStyle w:val="13"/>
          <w:rFonts w:ascii="Times New Roman" w:hAnsi="Times New Roman"/>
          <w:color w:val="auto"/>
          <w:sz w:val="32"/>
          <w:szCs w:val="32"/>
        </w:rPr>
        <w:t xml:space="preserve"> </w:t>
      </w:r>
      <w:r>
        <w:rPr>
          <w:rStyle w:val="15"/>
          <w:rFonts w:ascii="Times New Roman" w:hAnsi="Times New Roman"/>
          <w:color w:val="auto"/>
        </w:rPr>
        <w:t>年</w:t>
      </w:r>
      <w:r>
        <w:rPr>
          <w:rStyle w:val="13"/>
          <w:rFonts w:ascii="Times New Roman" w:hAnsi="Times New Roman"/>
          <w:color w:val="auto"/>
          <w:sz w:val="32"/>
          <w:szCs w:val="32"/>
        </w:rPr>
        <w:t>12</w:t>
      </w:r>
      <w:r>
        <w:rPr>
          <w:rStyle w:val="15"/>
          <w:rFonts w:ascii="Times New Roman" w:hAnsi="Times New Roman"/>
          <w:color w:val="auto"/>
        </w:rPr>
        <w:t>月</w:t>
      </w:r>
      <w:r>
        <w:rPr>
          <w:rStyle w:val="13"/>
          <w:rFonts w:ascii="Times New Roman" w:hAnsi="Times New Roman"/>
          <w:color w:val="auto"/>
          <w:sz w:val="32"/>
          <w:szCs w:val="32"/>
        </w:rPr>
        <w:t>31</w:t>
      </w:r>
      <w:r>
        <w:rPr>
          <w:rStyle w:val="15"/>
          <w:rFonts w:ascii="Times New Roman" w:hAnsi="Times New Roman"/>
          <w:color w:val="auto"/>
        </w:rPr>
        <w:t>日止。</w:t>
      </w:r>
      <w:r>
        <w:rPr>
          <w:rFonts w:ascii="Times New Roman" w:hAnsi="Times New Roman" w:eastAsia="仿宋_GB2312" w:cs="仿宋_GB2312"/>
          <w:b w:val="0"/>
          <w:i w:val="0"/>
          <w:color w:val="auto"/>
          <w:sz w:val="32"/>
          <w:szCs w:val="32"/>
        </w:rPr>
        <w:t>本报告的电子版可在威海市人民政府门户网站</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威海·</w:t>
      </w:r>
      <w:r>
        <w:rPr>
          <w:rFonts w:hint="eastAsia" w:ascii="Times New Roman" w:hAnsi="Times New Roman" w:eastAsia="仿宋_GB2312" w:cs="仿宋_GB2312"/>
          <w:b w:val="0"/>
          <w:i w:val="0"/>
          <w:color w:val="auto"/>
          <w:sz w:val="32"/>
          <w:szCs w:val="32"/>
          <w:lang w:eastAsia="zh-CN"/>
        </w:rPr>
        <w:t>环翠”</w:t>
      </w:r>
      <w:r>
        <w:rPr>
          <w:rFonts w:ascii="Times New Roman" w:hAnsi="Times New Roman" w:eastAsia="仿宋_GB2312" w:cs="仿宋_GB2312"/>
          <w:b w:val="0"/>
          <w:i w:val="0"/>
          <w:color w:val="auto"/>
          <w:sz w:val="32"/>
          <w:szCs w:val="32"/>
        </w:rPr>
        <w:t>（</w:t>
      </w:r>
      <w:r>
        <w:rPr>
          <w:rFonts w:hint="eastAsia" w:ascii="Times New Roman" w:hAnsi="Times New Roman" w:eastAsia="TimesNewRomanPSMT" w:cs="TimesNewRomanPSMT"/>
          <w:b w:val="0"/>
          <w:bCs w:val="0"/>
          <w:i w:val="0"/>
          <w:color w:val="auto"/>
          <w:sz w:val="32"/>
          <w:szCs w:val="32"/>
        </w:rPr>
        <w:t>http://www.huancui.gov.cn</w:t>
      </w:r>
      <w:r>
        <w:rPr>
          <w:rFonts w:ascii="Times New Roman" w:hAnsi="Times New Roman" w:eastAsia="仿宋_GB2312" w:cs="仿宋_GB2312"/>
          <w:b w:val="0"/>
          <w:i w:val="0"/>
          <w:color w:val="auto"/>
          <w:sz w:val="32"/>
          <w:szCs w:val="32"/>
        </w:rPr>
        <w:t>）下载。如对本报告有疑问，请与</w:t>
      </w:r>
      <w:r>
        <w:rPr>
          <w:rFonts w:hint="eastAsia" w:ascii="Times New Roman" w:hAnsi="Times New Roman" w:eastAsia="仿宋_GB2312" w:cs="仿宋_GB2312"/>
          <w:b w:val="0"/>
          <w:i w:val="0"/>
          <w:color w:val="auto"/>
          <w:sz w:val="32"/>
          <w:szCs w:val="32"/>
          <w:lang w:eastAsia="zh-CN"/>
        </w:rPr>
        <w:t>环翠区</w:t>
      </w:r>
      <w:r>
        <w:rPr>
          <w:rFonts w:ascii="Times New Roman" w:hAnsi="Times New Roman" w:eastAsia="仿宋_GB2312" w:cs="仿宋_GB2312"/>
          <w:b w:val="0"/>
          <w:i w:val="0"/>
          <w:color w:val="auto"/>
          <w:sz w:val="32"/>
          <w:szCs w:val="32"/>
        </w:rPr>
        <w:t>发展和改革</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联系（地址：威海市</w:t>
      </w:r>
      <w:r>
        <w:rPr>
          <w:rFonts w:hint="eastAsia" w:ascii="Times New Roman" w:hAnsi="Times New Roman" w:eastAsia="仿宋_GB2312" w:cs="仿宋_GB2312"/>
          <w:b w:val="0"/>
          <w:i w:val="0"/>
          <w:color w:val="auto"/>
          <w:sz w:val="32"/>
          <w:szCs w:val="32"/>
          <w:lang w:eastAsia="zh-CN"/>
        </w:rPr>
        <w:t>文化中路</w:t>
      </w:r>
      <w:r>
        <w:rPr>
          <w:rFonts w:hint="eastAsia" w:ascii="Times New Roman" w:hAnsi="Times New Roman" w:eastAsia="仿宋_GB2312" w:cs="仿宋_GB2312"/>
          <w:b w:val="0"/>
          <w:i w:val="0"/>
          <w:color w:val="auto"/>
          <w:sz w:val="32"/>
          <w:szCs w:val="32"/>
          <w:lang w:val="en-US" w:eastAsia="zh-CN"/>
        </w:rPr>
        <w:t>57-10号</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 xml:space="preserve">邮箱： </w:t>
      </w:r>
      <w:r>
        <w:rPr>
          <w:rFonts w:hint="eastAsia" w:ascii="Times New Roman" w:hAnsi="Times New Roman" w:eastAsia="宋体" w:cs="TimesNewRomanPSMT"/>
          <w:b w:val="0"/>
          <w:i w:val="0"/>
          <w:color w:val="auto"/>
          <w:sz w:val="32"/>
          <w:szCs w:val="32"/>
          <w:lang w:val="en-US" w:eastAsia="zh-CN"/>
        </w:rPr>
        <w:t>fagaiju3052</w:t>
      </w:r>
      <w:r>
        <w:rPr>
          <w:rFonts w:ascii="Times New Roman" w:hAnsi="Times New Roman" w:eastAsia="TimesNewRomanPSMT" w:cs="TimesNewRomanPSMT"/>
          <w:b w:val="0"/>
          <w:i w:val="0"/>
          <w:color w:val="auto"/>
          <w:sz w:val="32"/>
          <w:szCs w:val="32"/>
        </w:rPr>
        <w:t>@163.com</w:t>
      </w:r>
      <w:r>
        <w:rPr>
          <w:rFonts w:hint="eastAsia" w:ascii="Times New Roman" w:hAnsi="Times New Roman" w:eastAsia="宋体" w:cs="TimesNewRomanPSMT"/>
          <w:b w:val="0"/>
          <w:i w:val="0"/>
          <w:color w:val="auto"/>
          <w:sz w:val="32"/>
          <w:szCs w:val="32"/>
          <w:lang w:eastAsia="zh-CN"/>
        </w:rPr>
        <w:t>，</w:t>
      </w:r>
      <w:r>
        <w:rPr>
          <w:rFonts w:ascii="Times New Roman" w:hAnsi="Times New Roman" w:eastAsia="仿宋_GB2312" w:cs="仿宋_GB2312"/>
          <w:b w:val="0"/>
          <w:i w:val="0"/>
          <w:color w:val="auto"/>
          <w:sz w:val="32"/>
          <w:szCs w:val="32"/>
        </w:rPr>
        <w:t>邮编：</w:t>
      </w:r>
      <w:r>
        <w:rPr>
          <w:rFonts w:ascii="Times New Roman" w:hAnsi="Times New Roman" w:eastAsia="TimesNewRomanPSMT" w:cs="TimesNewRomanPSMT"/>
          <w:b w:val="0"/>
          <w:i w:val="0"/>
          <w:color w:val="auto"/>
          <w:sz w:val="32"/>
          <w:szCs w:val="32"/>
        </w:rPr>
        <w:t>264200</w:t>
      </w:r>
      <w:r>
        <w:rPr>
          <w:rFonts w:ascii="Times New Roman" w:hAnsi="Times New Roman" w:eastAsia="仿宋_GB2312" w:cs="仿宋_GB2312"/>
          <w:b w:val="0"/>
          <w:i w:val="0"/>
          <w:color w:val="auto"/>
          <w:sz w:val="32"/>
          <w:szCs w:val="32"/>
        </w:rPr>
        <w:t>，电话：</w:t>
      </w:r>
      <w:r>
        <w:rPr>
          <w:rFonts w:ascii="Times New Roman" w:hAnsi="Times New Roman" w:eastAsia="TimesNewRomanPSMT" w:cs="TimesNewRomanPSMT"/>
          <w:b w:val="0"/>
          <w:i w:val="0"/>
          <w:color w:val="auto"/>
          <w:sz w:val="32"/>
          <w:szCs w:val="32"/>
        </w:rPr>
        <w:t>0631</w:t>
      </w:r>
      <w:r>
        <w:rPr>
          <w:rFonts w:ascii="Times New Roman" w:hAnsi="Times New Roman" w:eastAsia="仿宋_GB2312" w:cs="仿宋_GB2312"/>
          <w:b w:val="0"/>
          <w:i w:val="0"/>
          <w:color w:val="auto"/>
          <w:sz w:val="32"/>
          <w:szCs w:val="32"/>
        </w:rPr>
        <w:t xml:space="preserve">— </w:t>
      </w:r>
      <w:r>
        <w:rPr>
          <w:rFonts w:hint="eastAsia" w:ascii="Times New Roman" w:hAnsi="Times New Roman" w:eastAsia="宋体" w:cs="TimesNewRomanPSMT"/>
          <w:b w:val="0"/>
          <w:i w:val="0"/>
          <w:color w:val="auto"/>
          <w:sz w:val="32"/>
          <w:szCs w:val="32"/>
          <w:lang w:val="en-US" w:eastAsia="zh-CN"/>
        </w:rPr>
        <w:t>5223178</w:t>
      </w:r>
      <w:r>
        <w:rPr>
          <w:rFonts w:ascii="Times New Roman" w:hAnsi="Times New Roman" w:eastAsia="仿宋_GB2312" w:cs="仿宋_GB2312"/>
          <w:b w:val="0"/>
          <w:i w:val="0"/>
          <w:color w:val="auto"/>
          <w:sz w:val="32"/>
          <w:szCs w:val="32"/>
        </w:rPr>
        <w:t>，传真：</w:t>
      </w:r>
      <w:r>
        <w:rPr>
          <w:rFonts w:ascii="Times New Roman" w:hAnsi="Times New Roman" w:eastAsia="TimesNewRomanPSMT" w:cs="TimesNewRomanPSMT"/>
          <w:b w:val="0"/>
          <w:i w:val="0"/>
          <w:color w:val="auto"/>
          <w:sz w:val="32"/>
          <w:szCs w:val="32"/>
        </w:rPr>
        <w:t>0631</w:t>
      </w:r>
      <w:r>
        <w:rPr>
          <w:rFonts w:ascii="Times New Roman" w:hAnsi="Times New Roman" w:eastAsia="仿宋_GB2312" w:cs="仿宋_GB2312"/>
          <w:b w:val="0"/>
          <w:i w:val="0"/>
          <w:color w:val="auto"/>
          <w:sz w:val="32"/>
          <w:szCs w:val="32"/>
        </w:rPr>
        <w:t>－</w:t>
      </w:r>
      <w:r>
        <w:rPr>
          <w:rFonts w:ascii="Times New Roman" w:hAnsi="Times New Roman" w:eastAsia="TimesNewRomanPSMT" w:cs="TimesNewRomanPSMT"/>
          <w:b w:val="0"/>
          <w:i w:val="0"/>
          <w:color w:val="auto"/>
          <w:sz w:val="32"/>
          <w:szCs w:val="32"/>
        </w:rPr>
        <w:t>5</w:t>
      </w:r>
      <w:r>
        <w:rPr>
          <w:rFonts w:hint="eastAsia" w:ascii="Times New Roman" w:hAnsi="Times New Roman" w:eastAsia="宋体" w:cs="TimesNewRomanPSMT"/>
          <w:b w:val="0"/>
          <w:i w:val="0"/>
          <w:color w:val="auto"/>
          <w:sz w:val="32"/>
          <w:szCs w:val="32"/>
          <w:lang w:val="en-US" w:eastAsia="zh-CN"/>
        </w:rPr>
        <w:t>200908</w:t>
      </w:r>
      <w:r>
        <w:rPr>
          <w:rFonts w:ascii="Times New Roman" w:hAnsi="Times New Roman" w:eastAsia="仿宋_GB2312" w:cs="仿宋_GB2312"/>
          <w:b w:val="0"/>
          <w:i w:val="0"/>
          <w:color w:val="auto"/>
          <w:sz w:val="32"/>
          <w:szCs w:val="32"/>
        </w:rPr>
        <w:t>）。</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ascii="Times New Roman" w:hAnsi="Times New Roman" w:eastAsia="黑体" w:cs="黑体"/>
          <w:b w:val="0"/>
          <w:i w:val="0"/>
          <w:color w:val="auto"/>
          <w:sz w:val="32"/>
          <w:szCs w:val="32"/>
        </w:rPr>
        <w:t>概述</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Style w:val="16"/>
          <w:rFonts w:ascii="Times New Roman" w:hAnsi="Times New Roman"/>
          <w:color w:val="auto"/>
        </w:rPr>
        <w:t>201</w:t>
      </w:r>
      <w:r>
        <w:rPr>
          <w:rStyle w:val="16"/>
          <w:rFonts w:hint="eastAsia" w:ascii="Times New Roman" w:hAnsi="Times New Roman" w:eastAsia="宋体"/>
          <w:color w:val="auto"/>
          <w:lang w:val="en-US" w:eastAsia="zh-CN"/>
        </w:rPr>
        <w:t>6</w:t>
      </w:r>
      <w:r>
        <w:rPr>
          <w:rStyle w:val="16"/>
          <w:rFonts w:ascii="Times New Roman" w:hAnsi="Times New Roman"/>
          <w:color w:val="auto"/>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局在区委区政府的领导下，</w:t>
      </w:r>
      <w:r>
        <w:rPr>
          <w:rFonts w:ascii="Times New Roman" w:hAnsi="Times New Roman" w:eastAsia="仿宋_GB2312" w:cs="仿宋_GB2312"/>
          <w:b w:val="0"/>
          <w:i w:val="0"/>
          <w:color w:val="auto"/>
          <w:sz w:val="32"/>
          <w:szCs w:val="32"/>
        </w:rPr>
        <w:t>认真贯彻落实《条例》和《办法》</w:t>
      </w:r>
      <w:r>
        <w:rPr>
          <w:rFonts w:hint="eastAsia" w:ascii="Times New Roman" w:hAnsi="Times New Roman" w:eastAsia="仿宋_GB2312" w:cs="仿宋_GB2312"/>
          <w:b w:val="0"/>
          <w:i w:val="0"/>
          <w:color w:val="auto"/>
          <w:sz w:val="32"/>
          <w:szCs w:val="32"/>
          <w:lang w:eastAsia="zh-CN"/>
        </w:rPr>
        <w:t>精神，</w:t>
      </w:r>
      <w:r>
        <w:rPr>
          <w:rFonts w:ascii="Times New Roman" w:hAnsi="Times New Roman" w:eastAsia="仿宋_GB2312" w:cs="仿宋_GB2312"/>
          <w:b w:val="0"/>
          <w:i w:val="0"/>
          <w:color w:val="auto"/>
          <w:sz w:val="32"/>
          <w:szCs w:val="32"/>
        </w:rPr>
        <w:t>建立健全工作运行机制，</w:t>
      </w:r>
      <w:r>
        <w:rPr>
          <w:rFonts w:hint="eastAsia" w:ascii="Times New Roman" w:hAnsi="Times New Roman" w:eastAsia="仿宋_GB2312" w:cs="仿宋_GB2312"/>
          <w:b w:val="0"/>
          <w:i w:val="0"/>
          <w:color w:val="auto"/>
          <w:sz w:val="32"/>
          <w:szCs w:val="32"/>
          <w:lang w:eastAsia="zh-CN"/>
        </w:rPr>
        <w:t>稳步推进</w:t>
      </w:r>
      <w:r>
        <w:rPr>
          <w:rFonts w:ascii="Times New Roman" w:hAnsi="Times New Roman" w:eastAsia="仿宋_GB2312" w:cs="仿宋_GB2312"/>
          <w:b w:val="0"/>
          <w:i w:val="0"/>
          <w:color w:val="auto"/>
          <w:sz w:val="32"/>
          <w:szCs w:val="32"/>
        </w:rPr>
        <w:t>政府信息公开</w:t>
      </w:r>
      <w:r>
        <w:rPr>
          <w:rFonts w:hint="eastAsia" w:ascii="Times New Roman" w:hAnsi="Times New Roman" w:eastAsia="仿宋_GB2312" w:cs="仿宋_GB2312"/>
          <w:b w:val="0"/>
          <w:i w:val="0"/>
          <w:color w:val="auto"/>
          <w:sz w:val="32"/>
          <w:szCs w:val="32"/>
          <w:lang w:eastAsia="zh-CN"/>
        </w:rPr>
        <w:t>工作</w:t>
      </w:r>
      <w:r>
        <w:rPr>
          <w:rFonts w:ascii="Times New Roman" w:hAnsi="Times New Roman" w:eastAsia="仿宋_GB2312" w:cs="仿宋_GB2312"/>
          <w:b w:val="0"/>
          <w:i w:val="0"/>
          <w:color w:val="auto"/>
          <w:sz w:val="32"/>
          <w:szCs w:val="32"/>
        </w:rPr>
        <w:t>，不断拓宽政府信息公开领域，为广大公众提供了更加优质、便捷的信息服务。</w:t>
      </w:r>
      <w:r>
        <w:rPr>
          <w:rFonts w:ascii="Times New Roman" w:hAnsi="Times New Roman" w:eastAsia="仿宋_GB2312" w:cs="仿宋_GB2312"/>
          <w:b w:val="0"/>
          <w:i w:val="0"/>
          <w:color w:val="auto"/>
          <w:sz w:val="32"/>
          <w:szCs w:val="32"/>
        </w:rPr>
        <w:br w:type="textWrapping"/>
      </w:r>
      <w:r>
        <w:rPr>
          <w:rFonts w:hint="eastAsia" w:ascii="Times New Roman" w:hAnsi="Times New Roman" w:eastAsia="仿宋_GB2312" w:cs="仿宋_GB2312"/>
          <w:b w:val="0"/>
          <w:i w:val="0"/>
          <w:color w:val="auto"/>
          <w:sz w:val="32"/>
          <w:szCs w:val="32"/>
          <w:lang w:val="en-US" w:eastAsia="zh-CN"/>
        </w:rPr>
        <w:t xml:space="preserve">    </w:t>
      </w:r>
      <w:r>
        <w:rPr>
          <w:rFonts w:ascii="Times New Roman" w:hAnsi="Times New Roman" w:eastAsia="黑体" w:cs="黑体"/>
          <w:b w:val="0"/>
          <w:i w:val="0"/>
          <w:color w:val="auto"/>
          <w:sz w:val="32"/>
          <w:szCs w:val="32"/>
        </w:rPr>
        <w:t>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eastAsia" w:ascii="Times New Roman" w:hAnsi="Times New Roman" w:eastAsia="仿宋_GB2312" w:cs="仿宋_GB2312"/>
          <w:b w:val="0"/>
          <w:i w:val="0"/>
          <w:color w:val="auto"/>
          <w:kern w:val="2"/>
          <w:sz w:val="32"/>
          <w:szCs w:val="32"/>
          <w:lang w:val="en-US" w:eastAsia="zh-CN" w:bidi="ar-SA"/>
        </w:rPr>
      </w:pPr>
      <w:r>
        <w:rPr>
          <w:rFonts w:hint="eastAsia" w:ascii="Times New Roman" w:hAnsi="Times New Roman" w:eastAsia="仿宋_GB2312" w:cs="仿宋_GB2312"/>
          <w:b w:val="0"/>
          <w:i w:val="0"/>
          <w:color w:val="auto"/>
          <w:kern w:val="2"/>
          <w:sz w:val="32"/>
          <w:szCs w:val="32"/>
          <w:lang w:val="en-US" w:eastAsia="zh-CN" w:bidi="ar-SA"/>
        </w:rPr>
        <w:t xml:space="preserve">    我局指定专门科室负责全局政府信息公开的推进、协调、监督、管理工作；各业务科室负责本科室的政府信息公开工作。做到了信息公开有人收集整理、有人审批管理、有人上传信息。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发布解读、</w:t>
      </w:r>
      <w:r>
        <w:rPr>
          <w:rFonts w:ascii="Times New Roman" w:hAnsi="Times New Roman" w:eastAsia="黑体" w:cs="黑体"/>
          <w:b w:val="0"/>
          <w:i w:val="0"/>
          <w:color w:val="auto"/>
          <w:sz w:val="32"/>
          <w:szCs w:val="32"/>
        </w:rPr>
        <w:t>回应社会关切及互动交流情况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firstLineChars="200"/>
        <w:jc w:val="both"/>
        <w:textAlignment w:val="auto"/>
        <w:outlineLvl w:val="9"/>
        <w:rPr>
          <w:rFonts w:ascii="Times New Roman" w:hAnsi="Times New Roman" w:eastAsia="宋体" w:cs="宋体"/>
          <w:color w:val="auto"/>
          <w:sz w:val="24"/>
          <w:szCs w:val="24"/>
        </w:rPr>
      </w:pPr>
      <w:r>
        <w:rPr>
          <w:rFonts w:hint="eastAsia" w:ascii="Times New Roman" w:hAnsi="Times New Roman" w:eastAsia="仿宋_GB2312" w:cs="仿宋_GB2312"/>
          <w:b w:val="0"/>
          <w:i w:val="0"/>
          <w:color w:val="auto"/>
          <w:sz w:val="32"/>
          <w:szCs w:val="32"/>
          <w:lang w:val="en-US" w:eastAsia="zh-CN"/>
        </w:rPr>
        <w:t>2016年，</w:t>
      </w:r>
      <w:r>
        <w:rPr>
          <w:rFonts w:ascii="Times New Roman" w:hAnsi="Times New Roman" w:eastAsia="仿宋_GB2312" w:cs="仿宋_GB2312"/>
          <w:b w:val="0"/>
          <w:i w:val="0"/>
          <w:color w:val="auto"/>
          <w:sz w:val="32"/>
          <w:szCs w:val="32"/>
        </w:rPr>
        <w:t>我</w:t>
      </w:r>
      <w:r>
        <w:rPr>
          <w:rFonts w:hint="eastAsia" w:ascii="Times New Roman" w:hAnsi="Times New Roman" w:eastAsia="仿宋_GB2312" w:cs="仿宋_GB2312"/>
          <w:b w:val="0"/>
          <w:i w:val="0"/>
          <w:color w:val="auto"/>
          <w:sz w:val="32"/>
          <w:szCs w:val="32"/>
          <w:lang w:eastAsia="zh-CN"/>
        </w:rPr>
        <w:t>局</w:t>
      </w:r>
      <w:r>
        <w:rPr>
          <w:rFonts w:hint="eastAsia" w:ascii="Times New Roman" w:hAnsi="Times New Roman" w:eastAsia="仿宋_GB2312" w:cs="Times New Roman"/>
          <w:b w:val="0"/>
          <w:bCs w:val="0"/>
          <w:color w:val="auto"/>
          <w:sz w:val="32"/>
          <w:szCs w:val="32"/>
          <w:lang w:val="en-US" w:eastAsia="zh-CN"/>
        </w:rPr>
        <w:t>全年共受理了有关餐饮、停车场、物业、药店等方面的价格投诉举报和市长信箱和市民热线反映的物价问题共194起，案件办结率为100%，有效回应了社会关切。</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0"/>
        <w:jc w:val="both"/>
        <w:textAlignment w:val="auto"/>
        <w:outlineLvl w:val="9"/>
        <w:rPr>
          <w:rFonts w:ascii="Times New Roman" w:hAnsi="Times New Roman" w:eastAsia="黑体" w:cs="黑体"/>
          <w:b w:val="0"/>
          <w:i w:val="0"/>
          <w:color w:val="auto"/>
          <w:sz w:val="32"/>
          <w:szCs w:val="32"/>
        </w:rPr>
      </w:pPr>
      <w:r>
        <w:rPr>
          <w:rFonts w:ascii="Times New Roman" w:hAnsi="Times New Roman" w:eastAsia="黑体" w:cs="黑体"/>
          <w:b w:val="0"/>
          <w:i w:val="0"/>
          <w:color w:val="auto"/>
          <w:sz w:val="32"/>
          <w:szCs w:val="32"/>
        </w:rPr>
        <w:t>主动公开政府信息以及公开平台建设情况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Times New Roman" w:hAnsi="Times New Roman" w:eastAsia="楷体_GB2312" w:cs="楷体_GB2312"/>
          <w:b w:val="0"/>
          <w:i w:val="0"/>
          <w:color w:val="auto"/>
          <w:sz w:val="32"/>
          <w:szCs w:val="32"/>
        </w:rPr>
      </w:pPr>
      <w:r>
        <w:rPr>
          <w:rFonts w:hint="eastAsia" w:ascii="Times New Roman" w:hAnsi="Times New Roman" w:eastAsia="楷体_GB2312" w:cs="楷体_GB2312"/>
          <w:b w:val="0"/>
          <w:i w:val="0"/>
          <w:color w:val="auto"/>
          <w:sz w:val="32"/>
          <w:szCs w:val="32"/>
          <w:lang w:eastAsia="zh-CN"/>
        </w:rPr>
        <w:t>（一）</w:t>
      </w:r>
      <w:r>
        <w:rPr>
          <w:rFonts w:hint="eastAsia" w:ascii="Times New Roman" w:hAnsi="Times New Roman" w:eastAsia="楷体_GB2312" w:cs="楷体_GB2312"/>
          <w:b w:val="0"/>
          <w:i w:val="0"/>
          <w:color w:val="auto"/>
          <w:sz w:val="32"/>
          <w:szCs w:val="32"/>
        </w:rPr>
        <w:t>公开内容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r>
        <w:rPr>
          <w:rFonts w:ascii="Times New Roman" w:hAnsi="Times New Roman" w:eastAsia="仿宋_GB2312" w:cs="仿宋_GB2312"/>
          <w:b w:val="0"/>
          <w:i w:val="0"/>
          <w:color w:val="auto"/>
          <w:sz w:val="32"/>
          <w:szCs w:val="32"/>
        </w:rPr>
        <w:t>我局主要通过区政务网站进行公开，辅之以报纸、广播、电视等形式</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201</w:t>
      </w:r>
      <w:r>
        <w:rPr>
          <w:rFonts w:hint="eastAsia" w:ascii="Times New Roman" w:hAnsi="Times New Roman" w:eastAsia="仿宋_GB2312" w:cs="仿宋_GB2312"/>
          <w:b w:val="0"/>
          <w:i w:val="0"/>
          <w:color w:val="auto"/>
          <w:sz w:val="32"/>
          <w:szCs w:val="32"/>
          <w:lang w:val="en-US" w:eastAsia="zh-CN"/>
        </w:rPr>
        <w:t>6</w:t>
      </w:r>
      <w:r>
        <w:rPr>
          <w:rFonts w:ascii="Times New Roman" w:hAnsi="Times New Roman" w:eastAsia="仿宋_GB2312" w:cs="仿宋_GB2312"/>
          <w:b w:val="0"/>
          <w:i w:val="0"/>
          <w:color w:val="auto"/>
          <w:sz w:val="32"/>
          <w:szCs w:val="32"/>
        </w:rPr>
        <w:t xml:space="preserve"> 年共公开政府信息</w:t>
      </w:r>
      <w:r>
        <w:rPr>
          <w:rFonts w:hint="eastAsia" w:ascii="Times New Roman" w:hAnsi="Times New Roman" w:eastAsia="仿宋_GB2312" w:cs="仿宋_GB2312"/>
          <w:b w:val="0"/>
          <w:i w:val="0"/>
          <w:color w:val="auto"/>
          <w:sz w:val="32"/>
          <w:szCs w:val="32"/>
          <w:lang w:val="en-US" w:eastAsia="zh-CN"/>
        </w:rPr>
        <w:t>199</w:t>
      </w:r>
      <w:r>
        <w:rPr>
          <w:rFonts w:ascii="Times New Roman" w:hAnsi="Times New Roman" w:eastAsia="仿宋_GB2312" w:cs="仿宋_GB2312"/>
          <w:b w:val="0"/>
          <w:i w:val="0"/>
          <w:color w:val="FF0000"/>
          <w:sz w:val="32"/>
          <w:szCs w:val="32"/>
        </w:rPr>
        <w:t xml:space="preserve"> </w:t>
      </w:r>
      <w:r>
        <w:rPr>
          <w:rFonts w:ascii="Times New Roman" w:hAnsi="Times New Roman" w:eastAsia="仿宋_GB2312" w:cs="仿宋_GB2312"/>
          <w:b w:val="0"/>
          <w:i w:val="0"/>
          <w:color w:val="auto"/>
          <w:sz w:val="32"/>
          <w:szCs w:val="32"/>
        </w:rPr>
        <w:t>条，比 201</w:t>
      </w:r>
      <w:r>
        <w:rPr>
          <w:rFonts w:hint="eastAsia" w:ascii="Times New Roman" w:hAnsi="Times New Roman" w:eastAsia="仿宋_GB2312" w:cs="仿宋_GB2312"/>
          <w:b w:val="0"/>
          <w:i w:val="0"/>
          <w:color w:val="auto"/>
          <w:sz w:val="32"/>
          <w:szCs w:val="32"/>
          <w:lang w:val="en-US" w:eastAsia="zh-CN"/>
        </w:rPr>
        <w:t>5</w:t>
      </w:r>
      <w:r>
        <w:rPr>
          <w:rFonts w:ascii="Times New Roman" w:hAnsi="Times New Roman" w:eastAsia="仿宋_GB2312" w:cs="仿宋_GB2312"/>
          <w:b w:val="0"/>
          <w:i w:val="0"/>
          <w:color w:val="auto"/>
          <w:sz w:val="32"/>
          <w:szCs w:val="32"/>
        </w:rPr>
        <w:t>年</w:t>
      </w:r>
      <w:r>
        <w:rPr>
          <w:rFonts w:hint="eastAsia" w:ascii="Times New Roman" w:hAnsi="Times New Roman" w:eastAsia="仿宋_GB2312" w:cs="仿宋_GB2312"/>
          <w:b w:val="0"/>
          <w:i w:val="0"/>
          <w:color w:val="auto"/>
          <w:sz w:val="32"/>
          <w:szCs w:val="32"/>
          <w:lang w:eastAsia="zh-CN"/>
        </w:rPr>
        <w:t>有所</w:t>
      </w:r>
      <w:r>
        <w:rPr>
          <w:rFonts w:ascii="Times New Roman" w:hAnsi="Times New Roman" w:eastAsia="仿宋_GB2312" w:cs="仿宋_GB2312"/>
          <w:b w:val="0"/>
          <w:i w:val="0"/>
          <w:color w:val="auto"/>
          <w:sz w:val="32"/>
          <w:szCs w:val="32"/>
        </w:rPr>
        <w:t>增长，其中，</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威海·</w:t>
      </w:r>
      <w:r>
        <w:rPr>
          <w:rFonts w:hint="eastAsia" w:ascii="Times New Roman" w:hAnsi="Times New Roman" w:eastAsia="仿宋_GB2312" w:cs="仿宋_GB2312"/>
          <w:b w:val="0"/>
          <w:i w:val="0"/>
          <w:color w:val="auto"/>
          <w:sz w:val="32"/>
          <w:szCs w:val="32"/>
          <w:lang w:eastAsia="zh-CN"/>
        </w:rPr>
        <w:t>环翠”</w:t>
      </w:r>
      <w:r>
        <w:rPr>
          <w:rFonts w:ascii="Times New Roman" w:hAnsi="Times New Roman" w:eastAsia="仿宋_GB2312" w:cs="仿宋_GB2312"/>
          <w:b w:val="0"/>
          <w:i w:val="0"/>
          <w:color w:val="auto"/>
          <w:sz w:val="32"/>
          <w:szCs w:val="32"/>
        </w:rPr>
        <w:t>政府信息公开专栏公开</w:t>
      </w:r>
      <w:r>
        <w:rPr>
          <w:rFonts w:hint="eastAsia" w:ascii="Times New Roman" w:hAnsi="Times New Roman" w:eastAsia="宋体" w:cs="TimesNewRomanPSMT"/>
          <w:b w:val="0"/>
          <w:i w:val="0"/>
          <w:color w:val="auto"/>
          <w:sz w:val="32"/>
          <w:szCs w:val="32"/>
          <w:lang w:val="en-US" w:eastAsia="zh-CN"/>
        </w:rPr>
        <w:t>57</w:t>
      </w:r>
      <w:r>
        <w:rPr>
          <w:rFonts w:ascii="Times New Roman" w:hAnsi="Times New Roman" w:eastAsia="仿宋_GB2312" w:cs="仿宋_GB2312"/>
          <w:b w:val="0"/>
          <w:i w:val="0"/>
          <w:color w:val="auto"/>
          <w:sz w:val="32"/>
          <w:szCs w:val="32"/>
        </w:rPr>
        <w:t>条，</w:t>
      </w:r>
      <w:r>
        <w:rPr>
          <w:rFonts w:hint="eastAsia" w:ascii="Times New Roman" w:hAnsi="Times New Roman" w:eastAsia="仿宋_GB2312" w:cs="仿宋_GB2312"/>
          <w:b w:val="0"/>
          <w:i w:val="0"/>
          <w:color w:val="auto"/>
          <w:sz w:val="32"/>
          <w:szCs w:val="32"/>
          <w:lang w:eastAsia="zh-CN"/>
        </w:rPr>
        <w:t>政务微信公开</w:t>
      </w:r>
      <w:r>
        <w:rPr>
          <w:rFonts w:hint="eastAsia" w:ascii="Times New Roman" w:hAnsi="Times New Roman" w:eastAsia="仿宋_GB2312" w:cs="仿宋_GB2312"/>
          <w:b w:val="0"/>
          <w:i w:val="0"/>
          <w:color w:val="auto"/>
          <w:sz w:val="32"/>
          <w:szCs w:val="32"/>
          <w:lang w:val="en-US" w:eastAsia="zh-CN"/>
        </w:rPr>
        <w:t>36条，</w:t>
      </w:r>
      <w:r>
        <w:rPr>
          <w:rFonts w:ascii="Times New Roman" w:hAnsi="Times New Roman" w:eastAsia="仿宋_GB2312" w:cs="仿宋_GB2312"/>
          <w:b w:val="0"/>
          <w:i w:val="0"/>
          <w:color w:val="auto"/>
          <w:sz w:val="32"/>
          <w:szCs w:val="32"/>
        </w:rPr>
        <w:t xml:space="preserve">其他方式公开 </w:t>
      </w:r>
      <w:r>
        <w:rPr>
          <w:rFonts w:hint="eastAsia" w:ascii="Times New Roman" w:hAnsi="Times New Roman" w:eastAsia="宋体" w:cs="TimesNewRomanPSMT"/>
          <w:b w:val="0"/>
          <w:i w:val="0"/>
          <w:color w:val="auto"/>
          <w:sz w:val="32"/>
          <w:szCs w:val="32"/>
          <w:lang w:val="en-US" w:eastAsia="zh-CN"/>
        </w:rPr>
        <w:t>106</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条。</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r>
        <w:drawing>
          <wp:anchor distT="0" distB="0" distL="114300" distR="114300" simplePos="0" relativeHeight="251658240" behindDoc="0" locked="0" layoutInCell="1" allowOverlap="1">
            <wp:simplePos x="0" y="0"/>
            <wp:positionH relativeFrom="column">
              <wp:posOffset>379730</wp:posOffset>
            </wp:positionH>
            <wp:positionV relativeFrom="paragraph">
              <wp:posOffset>142240</wp:posOffset>
            </wp:positionV>
            <wp:extent cx="4451350" cy="2500630"/>
            <wp:effectExtent l="0" t="0" r="6350" b="1397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楷体" w:cs="楷体"/>
          <w:b w:val="0"/>
          <w:i w:val="0"/>
          <w:color w:val="auto"/>
          <w:sz w:val="30"/>
          <w:szCs w:val="30"/>
          <w:lang w:eastAsia="zh-CN"/>
        </w:rPr>
      </w:pPr>
      <w:r>
        <w:rPr>
          <w:rFonts w:hint="eastAsia" w:ascii="Times New Roman" w:hAnsi="Times New Roman" w:eastAsia="楷体" w:cs="楷体"/>
          <w:b w:val="0"/>
          <w:i w:val="0"/>
          <w:color w:val="auto"/>
          <w:sz w:val="30"/>
          <w:szCs w:val="30"/>
          <w:lang w:eastAsia="zh-CN"/>
        </w:rPr>
        <w:t>图</w:t>
      </w:r>
      <w:r>
        <w:rPr>
          <w:rFonts w:hint="eastAsia" w:ascii="Times New Roman" w:hAnsi="Times New Roman" w:eastAsia="楷体" w:cs="楷体"/>
          <w:b w:val="0"/>
          <w:i w:val="0"/>
          <w:color w:val="auto"/>
          <w:sz w:val="30"/>
          <w:szCs w:val="30"/>
          <w:lang w:val="en-US" w:eastAsia="zh-CN"/>
        </w:rPr>
        <w:t>1.2016年信息公开条目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楷体" w:cs="楷体"/>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Times New Roman" w:hAnsi="Times New Roman" w:eastAsia="宋体" w:cs="宋体"/>
          <w:color w:val="auto"/>
          <w:sz w:val="24"/>
          <w:szCs w:val="24"/>
          <w:lang w:eastAsia="zh-CN"/>
        </w:rPr>
      </w:pPr>
      <w:r>
        <w:rPr>
          <w:rFonts w:ascii="Times New Roman" w:hAnsi="Times New Roman" w:eastAsia="楷体" w:cs="楷体"/>
          <w:b w:val="0"/>
          <w:i w:val="0"/>
          <w:color w:val="auto"/>
          <w:sz w:val="32"/>
          <w:szCs w:val="32"/>
        </w:rPr>
        <w:t>（二）平台建设</w:t>
      </w:r>
      <w:r>
        <w:rPr>
          <w:rFonts w:ascii="Times New Roman" w:hAnsi="Times New Roman" w:eastAsia="楷体" w:cs="楷体"/>
          <w:b w:val="0"/>
          <w:i w:val="0"/>
          <w:color w:val="auto"/>
          <w:sz w:val="32"/>
          <w:szCs w:val="32"/>
        </w:rPr>
        <w:br w:type="textWrapping"/>
      </w:r>
      <w:r>
        <w:rPr>
          <w:rFonts w:hint="eastAsia" w:ascii="Times New Roman" w:hAnsi="Times New Roman" w:eastAsia="楷体" w:cs="楷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设置了政府信息公开工作开展及查阅场所，配备了专用</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资料柜、档案盒等，用来存放政府信息公开条例、申请表、</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标准文书和政府信息公开档案资料。为方便群众查询，公开</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了政府信息公开申请受理机构的名称、办公地址、办公时间、联系电话、传真号码等内容，设立了投诉电话</w:t>
      </w:r>
      <w:r>
        <w:rPr>
          <w:rFonts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五</w:t>
      </w:r>
      <w:r>
        <w:rPr>
          <w:rFonts w:ascii="Times New Roman" w:hAnsi="Times New Roman" w:eastAsia="黑体" w:cs="黑体"/>
          <w:b w:val="0"/>
          <w:i w:val="0"/>
          <w:color w:val="auto"/>
          <w:sz w:val="32"/>
          <w:szCs w:val="32"/>
        </w:rPr>
        <w:t>、政府信息公开申请的办理情况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宋体" w:cs="宋体"/>
          <w:color w:val="auto"/>
          <w:sz w:val="24"/>
          <w:szCs w:val="24"/>
        </w:rPr>
      </w:pPr>
      <w:r>
        <w:rPr>
          <w:rFonts w:ascii="Times New Roman" w:hAnsi="Times New Roman" w:eastAsia="仿宋_GB2312" w:cs="仿宋_GB2312"/>
          <w:b w:val="0"/>
          <w:i w:val="0"/>
          <w:color w:val="auto"/>
          <w:sz w:val="32"/>
          <w:szCs w:val="32"/>
        </w:rPr>
        <w:t xml:space="preserve">本年度共收到政府信息公开申请 </w:t>
      </w:r>
      <w:r>
        <w:rPr>
          <w:rFonts w:hint="eastAsia" w:ascii="Times New Roman" w:hAnsi="Times New Roman" w:eastAsia="宋体" w:cs="TimesNewRomanPSMT"/>
          <w:b w:val="0"/>
          <w:i w:val="0"/>
          <w:color w:val="auto"/>
          <w:sz w:val="32"/>
          <w:szCs w:val="32"/>
          <w:lang w:val="en-US" w:eastAsia="zh-CN"/>
        </w:rPr>
        <w:t>0</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件。</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六、</w:t>
      </w:r>
      <w:r>
        <w:rPr>
          <w:rFonts w:ascii="Times New Roman" w:hAnsi="Times New Roman" w:eastAsia="黑体" w:cs="黑体"/>
          <w:b w:val="0"/>
          <w:i w:val="0"/>
          <w:color w:val="auto"/>
          <w:sz w:val="32"/>
          <w:szCs w:val="32"/>
        </w:rPr>
        <w:t>政府信息公开的收费及减免情况</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在政府信息公开过程中，我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始终坚持为民、便民、利民的原则，对印刷、邮寄等费用，全部予以减免。</w:t>
      </w:r>
      <w:r>
        <w:rPr>
          <w:rFonts w:ascii="Times New Roman" w:hAnsi="Times New Roman" w:eastAsia="仿宋_GB2312" w:cs="仿宋_GB2312"/>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七、因政府信息公开申请行政复议、提起行政诉讼的情</w:t>
      </w:r>
      <w:r>
        <w:rPr>
          <w:rFonts w:hint="eastAsia" w:ascii="Times New Roman" w:hAnsi="Times New Roman" w:eastAsia="黑体" w:cs="黑体"/>
          <w:b w:val="0"/>
          <w:i w:val="0"/>
          <w:color w:val="auto"/>
          <w:sz w:val="32"/>
          <w:szCs w:val="32"/>
          <w:lang w:val="en-US" w:eastAsia="zh-CN"/>
        </w:rPr>
        <w:br w:type="textWrapping"/>
      </w:r>
      <w:r>
        <w:rPr>
          <w:rFonts w:ascii="Times New Roman" w:hAnsi="Times New Roman" w:eastAsia="黑体" w:cs="黑体"/>
          <w:b w:val="0"/>
          <w:i w:val="0"/>
          <w:color w:val="auto"/>
          <w:sz w:val="32"/>
          <w:szCs w:val="32"/>
        </w:rPr>
        <w:t>况</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本年度没有发生因政府信息公开引发的举报、投诉、行政复议、行政诉讼事件。</w:t>
      </w:r>
      <w:r>
        <w:rPr>
          <w:rFonts w:ascii="Times New Roman" w:hAnsi="Times New Roman" w:eastAsia="仿宋_GB2312" w:cs="仿宋_GB2312"/>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八</w:t>
      </w:r>
      <w:r>
        <w:rPr>
          <w:rFonts w:ascii="Times New Roman" w:hAnsi="Times New Roman" w:eastAsia="黑体" w:cs="黑体"/>
          <w:b w:val="0"/>
          <w:i w:val="0"/>
          <w:color w:val="auto"/>
          <w:sz w:val="32"/>
          <w:szCs w:val="32"/>
        </w:rPr>
        <w:t>、政府信息公开保密审查及监督检查情况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仿宋_GB2312" w:cs="仿宋_GB2312"/>
          <w:b w:val="0"/>
          <w:i w:val="0"/>
          <w:color w:val="auto"/>
          <w:sz w:val="32"/>
          <w:szCs w:val="32"/>
        </w:rPr>
      </w:pPr>
      <w:r>
        <w:rPr>
          <w:rFonts w:ascii="Times New Roman" w:hAnsi="Times New Roman" w:eastAsia="TimesNewRomanPSMT" w:cs="TimesNewRomanPSMT"/>
          <w:b w:val="0"/>
          <w:i w:val="0"/>
          <w:color w:val="auto"/>
          <w:sz w:val="32"/>
          <w:szCs w:val="32"/>
        </w:rPr>
        <w:t>201</w:t>
      </w:r>
      <w:r>
        <w:rPr>
          <w:rFonts w:hint="eastAsia" w:ascii="Times New Roman" w:hAnsi="Times New Roman" w:eastAsia="宋体" w:cs="TimesNewRomanPSMT"/>
          <w:b w:val="0"/>
          <w:i w:val="0"/>
          <w:color w:val="auto"/>
          <w:sz w:val="32"/>
          <w:szCs w:val="32"/>
          <w:lang w:val="en-US" w:eastAsia="zh-CN"/>
        </w:rPr>
        <w:t>6</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在做好政府信息公开工作的同时，严格执行政府信息保密审查机制和程序。依据国家保密局《关于做好政府信息公开中的保密工作的通知》，对行政机关公文信息公开审核标准和程序作了明确规定。对要公开的政府信息保密审查界定作了明确，确保政府信息公开工作顺利进行</w:t>
      </w:r>
      <w:r>
        <w:rPr>
          <w:rFonts w:hint="eastAsia" w:ascii="Times New Roman" w:hAnsi="Times New Roman" w:eastAsia="仿宋_GB2312" w:cs="仿宋_GB2312"/>
          <w:b w:val="0"/>
          <w:i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Times New Roman" w:hAnsi="Times New Roman" w:eastAsia="黑体" w:cs="黑体"/>
          <w:b w:val="0"/>
          <w:i w:val="0"/>
          <w:color w:val="auto"/>
          <w:sz w:val="32"/>
          <w:szCs w:val="32"/>
          <w:lang w:eastAsia="zh-CN"/>
        </w:rPr>
      </w:pPr>
      <w:r>
        <w:rPr>
          <w:rFonts w:hint="eastAsia" w:ascii="Times New Roman" w:hAnsi="Times New Roman" w:eastAsia="黑体" w:cs="黑体"/>
          <w:b w:val="0"/>
          <w:i w:val="0"/>
          <w:color w:val="auto"/>
          <w:sz w:val="32"/>
          <w:szCs w:val="32"/>
          <w:lang w:eastAsia="zh-CN"/>
        </w:rPr>
        <w:t>九、所属事业单位信息公开推进措施和落实情况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仿宋_GB2312" w:cs="仿宋_GB2312"/>
          <w:b w:val="0"/>
          <w:i w:val="0"/>
          <w:color w:val="auto"/>
          <w:sz w:val="32"/>
          <w:szCs w:val="32"/>
          <w:lang w:eastAsia="zh-CN"/>
        </w:rPr>
        <w:t>区发改局所属事业单位有</w:t>
      </w:r>
      <w:r>
        <w:rPr>
          <w:rFonts w:ascii="Times New Roman" w:hAnsi="Times New Roman" w:eastAsia="仿宋_GB2312" w:cs="仿宋_GB2312"/>
          <w:b w:val="0"/>
          <w:i w:val="0"/>
          <w:color w:val="auto"/>
          <w:sz w:val="32"/>
          <w:szCs w:val="32"/>
          <w:lang w:val="en-US" w:eastAsia="zh-CN"/>
        </w:rPr>
        <w:t>蓝色经济区管理</w:t>
      </w:r>
      <w:r>
        <w:rPr>
          <w:rFonts w:hint="eastAsia" w:ascii="Times New Roman" w:hAnsi="Times New Roman" w:eastAsia="仿宋_GB2312" w:cs="仿宋_GB2312"/>
          <w:b w:val="0"/>
          <w:i w:val="0"/>
          <w:color w:val="auto"/>
          <w:sz w:val="32"/>
          <w:szCs w:val="32"/>
          <w:lang w:val="en-US" w:eastAsia="zh-CN"/>
        </w:rPr>
        <w:t>、</w:t>
      </w:r>
      <w:r>
        <w:rPr>
          <w:rFonts w:ascii="Times New Roman" w:hAnsi="Times New Roman" w:eastAsia="仿宋_GB2312" w:cs="仿宋_GB2312"/>
          <w:b w:val="0"/>
          <w:i w:val="0"/>
          <w:color w:val="auto"/>
          <w:sz w:val="32"/>
          <w:szCs w:val="32"/>
          <w:lang w:val="en-US" w:eastAsia="zh-CN"/>
        </w:rPr>
        <w:t>重点项目管理办公室</w:t>
      </w:r>
      <w:r>
        <w:rPr>
          <w:rFonts w:hint="eastAsia" w:ascii="Times New Roman" w:hAnsi="Times New Roman" w:eastAsia="仿宋_GB2312" w:cs="仿宋_GB2312"/>
          <w:b w:val="0"/>
          <w:i w:val="0"/>
          <w:color w:val="auto"/>
          <w:sz w:val="32"/>
          <w:szCs w:val="32"/>
          <w:lang w:val="en-US" w:eastAsia="zh-CN"/>
        </w:rPr>
        <w:t>、</w:t>
      </w:r>
      <w:r>
        <w:rPr>
          <w:rFonts w:ascii="Times New Roman" w:hAnsi="Times New Roman" w:eastAsia="仿宋_GB2312" w:cs="仿宋_GB2312"/>
          <w:b w:val="0"/>
          <w:i w:val="0"/>
          <w:color w:val="auto"/>
          <w:sz w:val="32"/>
          <w:szCs w:val="32"/>
          <w:lang w:val="en-US" w:eastAsia="zh-CN"/>
        </w:rPr>
        <w:t>价格认证中心</w:t>
      </w:r>
      <w:r>
        <w:rPr>
          <w:rFonts w:hint="eastAsia" w:ascii="Times New Roman" w:hAnsi="Times New Roman" w:eastAsia="仿宋_GB2312" w:cs="仿宋_GB2312"/>
          <w:b w:val="0"/>
          <w:i w:val="0"/>
          <w:color w:val="auto"/>
          <w:sz w:val="32"/>
          <w:szCs w:val="32"/>
          <w:lang w:val="en-US" w:eastAsia="zh-CN"/>
        </w:rPr>
        <w:t>、社会信用管理中心，均按照统一要求进行了信息公开工作。</w:t>
      </w:r>
      <w:r>
        <w:rPr>
          <w:rFonts w:ascii="Times New Roman" w:hAnsi="Times New Roman" w:eastAsia="仿宋_GB2312" w:cs="仿宋_GB2312"/>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br w:type="textWrapping"/>
      </w:r>
      <w:r>
        <w:rPr>
          <w:rFonts w:hint="eastAsia" w:ascii="Times New Roman" w:hAnsi="Times New Roman" w:eastAsia="仿宋_GB2312" w:cs="仿宋_GB2312"/>
          <w:b w:val="0"/>
          <w:i w:val="0"/>
          <w:color w:val="auto"/>
          <w:sz w:val="32"/>
          <w:szCs w:val="32"/>
          <w:lang w:val="en-US" w:eastAsia="zh-CN"/>
        </w:rPr>
        <w:t xml:space="preserve">    </w:t>
      </w:r>
      <w:r>
        <w:rPr>
          <w:rFonts w:ascii="Times New Roman" w:hAnsi="Times New Roman" w:eastAsia="黑体" w:cs="黑体"/>
          <w:b w:val="0"/>
          <w:i w:val="0"/>
          <w:color w:val="auto"/>
          <w:sz w:val="32"/>
          <w:szCs w:val="32"/>
        </w:rPr>
        <w:t>十、政府信息公开工作存在的主要问题及改进情况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宋体" w:cs="TimesNewRomanPSMT"/>
          <w:b w:val="0"/>
          <w:i w:val="0"/>
          <w:color w:val="auto"/>
          <w:sz w:val="32"/>
          <w:szCs w:val="32"/>
          <w:lang w:val="en-US" w:eastAsia="zh-CN"/>
        </w:rPr>
        <w:t xml:space="preserve">    </w:t>
      </w:r>
      <w:r>
        <w:rPr>
          <w:rFonts w:ascii="Times New Roman" w:hAnsi="Times New Roman" w:eastAsia="TimesNewRomanPSMT" w:cs="TimesNewRomanPSMT"/>
          <w:b w:val="0"/>
          <w:i w:val="0"/>
          <w:color w:val="auto"/>
          <w:sz w:val="32"/>
          <w:szCs w:val="32"/>
        </w:rPr>
        <w:t>201</w:t>
      </w:r>
      <w:r>
        <w:rPr>
          <w:rFonts w:hint="eastAsia" w:ascii="Times New Roman" w:hAnsi="Times New Roman" w:eastAsia="宋体" w:cs="TimesNewRomanPSMT"/>
          <w:b w:val="0"/>
          <w:i w:val="0"/>
          <w:color w:val="auto"/>
          <w:sz w:val="32"/>
          <w:szCs w:val="32"/>
          <w:lang w:val="en-US" w:eastAsia="zh-CN"/>
        </w:rPr>
        <w:t>6</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政府信息公开工作取得了一定的成效，</w:t>
      </w:r>
      <w:r>
        <w:rPr>
          <w:rFonts w:hint="eastAsia" w:ascii="Times New Roman" w:hAnsi="Times New Roman" w:eastAsia="仿宋_GB2312" w:cs="仿宋_GB2312"/>
          <w:b w:val="0"/>
          <w:i w:val="0"/>
          <w:color w:val="auto"/>
          <w:sz w:val="32"/>
          <w:szCs w:val="32"/>
        </w:rPr>
        <w:t>但对照上级的要求和公众的期望，还存在一些不足，主要表现在：对公开信息与不公开信息的界定，需进一步规范。具体的解决办法和改进措施</w:t>
      </w:r>
      <w:r>
        <w:rPr>
          <w:rFonts w:hint="eastAsia" w:ascii="Times New Roman" w:hAnsi="Times New Roman" w:eastAsia="仿宋_GB2312" w:cs="仿宋_GB2312"/>
          <w:b w:val="0"/>
          <w:i w:val="0"/>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仿宋_GB2312" w:cs="仿宋_GB2312"/>
          <w:b w:val="0"/>
          <w:i w:val="0"/>
          <w:color w:val="auto"/>
          <w:sz w:val="32"/>
          <w:szCs w:val="32"/>
        </w:rPr>
        <w:t>　　</w:t>
      </w:r>
      <w:r>
        <w:rPr>
          <w:rFonts w:ascii="Times New Roman" w:hAnsi="Times New Roman" w:eastAsia="仿宋_GB2312" w:cs="仿宋_GB2312"/>
          <w:b w:val="0"/>
          <w:i w:val="0"/>
          <w:color w:val="auto"/>
          <w:sz w:val="32"/>
          <w:szCs w:val="32"/>
        </w:rPr>
        <w:t>1.</w:t>
      </w:r>
      <w:r>
        <w:rPr>
          <w:rFonts w:hint="eastAsia" w:ascii="Times New Roman" w:hAnsi="Times New Roman" w:eastAsia="仿宋_GB2312" w:cs="仿宋_GB2312"/>
          <w:b w:val="0"/>
          <w:i w:val="0"/>
          <w:color w:val="auto"/>
          <w:sz w:val="32"/>
          <w:szCs w:val="32"/>
        </w:rPr>
        <w:t>进一步增强全体工作人员信息公开意识，统一信息公开标准和认识。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仿宋_GB2312" w:cs="仿宋_GB2312"/>
          <w:b w:val="0"/>
          <w:i w:val="0"/>
          <w:color w:val="auto"/>
          <w:sz w:val="32"/>
          <w:szCs w:val="32"/>
        </w:rPr>
        <w:t>　　</w:t>
      </w:r>
      <w:r>
        <w:rPr>
          <w:rFonts w:hint="default" w:ascii="Times New Roman" w:hAnsi="Times New Roman" w:eastAsia="仿宋_GB2312" w:cs="仿宋_GB2312"/>
          <w:b w:val="0"/>
          <w:i w:val="0"/>
          <w:color w:val="auto"/>
          <w:sz w:val="32"/>
          <w:szCs w:val="32"/>
        </w:rPr>
        <w:t>2.</w:t>
      </w:r>
      <w:r>
        <w:rPr>
          <w:rFonts w:hint="eastAsia" w:ascii="Times New Roman" w:hAnsi="Times New Roman" w:eastAsia="仿宋_GB2312" w:cs="仿宋_GB2312"/>
          <w:b w:val="0"/>
          <w:i w:val="0"/>
          <w:color w:val="auto"/>
          <w:sz w:val="32"/>
          <w:szCs w:val="32"/>
        </w:rPr>
        <w:t>进一步加强政府信息公开工作的标准化建设。及时对本单位的政府信息进行管理，做到应主动公开的信息及时公开。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仿宋_GB2312" w:cs="仿宋_GB2312"/>
          <w:b w:val="0"/>
          <w:i w:val="0"/>
          <w:color w:val="auto"/>
          <w:sz w:val="32"/>
          <w:szCs w:val="32"/>
        </w:rPr>
      </w:pPr>
      <w:r>
        <w:rPr>
          <w:rFonts w:ascii="Times New Roman" w:hAnsi="Times New Roman" w:eastAsia="仿宋_GB2312" w:cs="仿宋_GB2312"/>
          <w:b w:val="0"/>
          <w:i w:val="0"/>
          <w:color w:val="auto"/>
          <w:sz w:val="32"/>
          <w:szCs w:val="32"/>
        </w:rPr>
        <w:t>进一步研究探索信息公开的范围、内容和有效渠道，打造我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政府信息公开新亮点，密切我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和人民群众的联系，加强政府信息公开服务和改善民生的作用。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仿宋_GB2312" w:cs="仿宋_GB2312"/>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仿宋_GB2312" w:cs="仿宋_GB2312"/>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仿宋_GB2312" w:cs="仿宋_GB2312"/>
          <w:b w:val="0"/>
          <w:i w:val="0"/>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文星简小标宋" w:hAnsi="文星简小标宋" w:eastAsia="文星简小标宋" w:cs="文星简小标宋"/>
          <w:color w:val="auto"/>
          <w:sz w:val="44"/>
          <w:szCs w:val="44"/>
        </w:rPr>
      </w:pPr>
      <w:r>
        <w:rPr>
          <w:rFonts w:hint="eastAsia" w:ascii="文星简小标宋" w:hAnsi="文星简小标宋" w:eastAsia="文星简小标宋" w:cs="文星简小标宋"/>
          <w:color w:val="auto"/>
          <w:kern w:val="0"/>
          <w:sz w:val="44"/>
          <w:szCs w:val="44"/>
          <w:lang w:val="en-US" w:eastAsia="zh-CN" w:bidi="ar"/>
        </w:rPr>
        <w:t>政府信息公开工作情况统计表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宋体"/>
          <w:color w:val="auto"/>
          <w:kern w:val="0"/>
          <w:sz w:val="28"/>
          <w:szCs w:val="28"/>
          <w:lang w:val="en-US" w:eastAsia="zh-CN" w:bidi="ar"/>
        </w:rPr>
      </w:pPr>
      <w:r>
        <w:rPr>
          <w:rFonts w:ascii="Times New Roman" w:hAnsi="Times New Roman" w:eastAsia="宋体" w:cs="宋体"/>
          <w:color w:val="auto"/>
          <w:kern w:val="0"/>
          <w:sz w:val="28"/>
          <w:szCs w:val="28"/>
          <w:lang w:val="en-US" w:eastAsia="zh-CN" w:bidi="ar"/>
        </w:rPr>
        <w:t>（</w:t>
      </w:r>
      <w:r>
        <w:rPr>
          <w:rFonts w:hint="eastAsia" w:ascii="Times New Roman" w:hAnsi="Times New Roman" w:eastAsia="宋体" w:cs="宋体"/>
          <w:color w:val="auto"/>
          <w:kern w:val="0"/>
          <w:sz w:val="28"/>
          <w:szCs w:val="28"/>
          <w:lang w:val="en-US" w:eastAsia="zh-CN" w:bidi="ar"/>
        </w:rPr>
        <w:t>2016</w:t>
      </w:r>
      <w:r>
        <w:rPr>
          <w:rFonts w:ascii="Times New Roman" w:hAnsi="Times New Roman" w:eastAsia="宋体" w:cs="宋体"/>
          <w:color w:val="auto"/>
          <w:kern w:val="0"/>
          <w:sz w:val="28"/>
          <w:szCs w:val="28"/>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ascii="Times New Roman" w:hAnsi="Times New Roman" w:eastAsia="宋体" w:cs="宋体"/>
          <w:color w:val="auto"/>
          <w:kern w:val="0"/>
          <w:sz w:val="28"/>
          <w:szCs w:val="28"/>
          <w:lang w:val="en-US" w:eastAsia="zh-CN" w:bidi="ar"/>
        </w:rPr>
        <w:t>单位名称：环翠区</w:t>
      </w:r>
      <w:r>
        <w:rPr>
          <w:rFonts w:hint="eastAsia" w:ascii="Times New Roman" w:hAnsi="Times New Roman" w:eastAsia="宋体" w:cs="宋体"/>
          <w:color w:val="auto"/>
          <w:kern w:val="0"/>
          <w:sz w:val="28"/>
          <w:szCs w:val="28"/>
          <w:lang w:val="en-US" w:eastAsia="zh-CN" w:bidi="ar"/>
        </w:rPr>
        <w:t>发展和改革局</w:t>
      </w:r>
    </w:p>
    <w:tbl>
      <w:tblPr>
        <w:tblStyle w:val="12"/>
        <w:tblW w:w="9449" w:type="dxa"/>
        <w:jc w:val="center"/>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0"/>
        <w:gridCol w:w="99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85"/>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统　计　指　标</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单位</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一、主动公开情况</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hint="eastAsia" w:ascii="Times New Roman" w:hAnsi="Times New Roman" w:eastAsia="宋体" w:cs="宋体"/>
                <w:color w:val="auto"/>
                <w:kern w:val="0"/>
                <w:sz w:val="21"/>
                <w:szCs w:val="21"/>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（一）主动公开政府信息数（不同渠道和方式公开相同信息计1条）</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其中：主动公开规范性文件数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制发规范性文件总数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（二）通过不同渠道和方式公开政府信息的情况</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1.政府公报公开政府信息数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2.政府网站公开政府信息数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3.政务微博公开政府信息数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4.政务微信公开政府信息数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5.其他方式公开政府信息数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二、回应解读情况（不同方式回应同一热点或舆情计1次）</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（一）回应公众关注热点或重大舆情数（不同方式回应同一热点或舆情计1次）</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（二）通过不同渠道和方式回应解读的情况</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1.参加或举办新闻发布会总次数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其中：主要负责同志参加新闻发布会次数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2.政府网站在线访谈次数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其中：主要负责同志参加政府网站在线访谈次数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3.政策解读稿件发布数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篇</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4.微博微信回应事件数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5.其他方式回应事件数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三、依申请公开情况</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（一）收到申请数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1.当面申请数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2.传真申请数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3.网络申请数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4.信函申请数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5.其他形式</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（二）申请办结数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1.按时办结数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2.延期办结数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（三）申请答复数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1.属于已主动公开范围数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2.同意公开答复数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3.同意部分公开答复数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4.不同意公开答复数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其中：涉及国家秘密</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涉及商业秘密</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涉及个人隐私</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危及国家安全、公共安全、经济安全和社会稳定</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不是《条例》所指政府信息</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法律法规规定的其他情形</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5.不属于本行政机关公开数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6.申请信息不存在数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7.告知作出更改补充数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8.告知通过其他途径办理数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四、行政复议数量</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（一）维持具体行政行为数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（二）被依法纠错数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（三）其他情形数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五、行政诉讼数量</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（一）维持具体行政行为或者驳回原告诉讼请求数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（二）被依法纠错数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（三）其他情形数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六、被举报投诉数量</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（一）维持具体行政行为数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（二）被纠错数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（三）其他情形数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件</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七、向图书馆、档案馆等查阅场所报送信息数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（一）纸质文件数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（二）电子文件数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八、开通政府信息公开网站（或设立门户网站信息公开专栏）数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（一）市政府及其部门门户网站</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（二）县（市、区）政府门户网站</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（三）乡镇政府（街道办事处）门户网站</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九、市政府公报发行量</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（一）公报发行期数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期</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0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（二）公报发行总份数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份</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0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十、设置政府信息查阅点数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（一）市政府及其部门</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（二）县（市、区）政府及其部门</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（三）乡镇政府（街道办事处）</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十一、查阅点接待人数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（一）市政府及其部门</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（二）县（市、区）政府及其部门</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（三）乡镇政府（街道办事处）</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十二、依申请公开信息收取的费用</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万元</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十三、机构建设和保障经费情况</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（一）政府信息公开工作专门机构数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（二）设置政府信息公开查阅点数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个</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（三）从事政府信息公开工作人员数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人</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1.专职人员数（不包括政府公报及政府网站工作人员数）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人</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2.兼职人员数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人</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（四）政府信息公开专项经费（不包括用于政府公报编辑管理及政府网站建设维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护等方面的经费）</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万元</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1"/>
                <w:szCs w:val="21"/>
                <w:lang w:val="en-US" w:eastAsia="zh-CN" w:bidi="ar"/>
              </w:rPr>
              <w:t>十四、政府信息公开会议和培训情况</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4"/>
                <w:szCs w:val="24"/>
                <w:lang w:val="en-US" w:eastAsia="zh-CN" w:bidi="ar"/>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（一）召开政府信息公开工作会议或专题会议数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（二）举办各类培训班数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73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Times New Roman" w:hAnsi="Times New Roman"/>
                <w:color w:val="auto"/>
              </w:rPr>
            </w:pPr>
            <w:r>
              <w:rPr>
                <w:rFonts w:ascii="Times New Roman" w:hAnsi="Times New Roman" w:eastAsia="宋体" w:cs="宋体"/>
                <w:color w:val="auto"/>
                <w:kern w:val="0"/>
                <w:sz w:val="20"/>
                <w:szCs w:val="20"/>
                <w:lang w:val="en-US" w:eastAsia="zh-CN" w:bidi="ar"/>
              </w:rPr>
              <w:t>　　（三）接受培训人员数</w:t>
            </w:r>
          </w:p>
        </w:tc>
        <w:tc>
          <w:tcPr>
            <w:tcW w:w="99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ascii="Times New Roman" w:hAnsi="Times New Roman"/>
                <w:color w:val="auto"/>
              </w:rPr>
            </w:pPr>
            <w:r>
              <w:rPr>
                <w:rFonts w:ascii="Times New Roman" w:hAnsi="Times New Roman" w:eastAsia="宋体" w:cs="宋体"/>
                <w:color w:val="auto"/>
                <w:kern w:val="0"/>
                <w:sz w:val="20"/>
                <w:szCs w:val="20"/>
                <w:lang w:val="en-US" w:eastAsia="zh-CN" w:bidi="ar"/>
              </w:rPr>
              <w:t>人次</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宋体" w:cs="宋体"/>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仿宋_GB2312" w:cs="仿宋_GB2312"/>
          <w:b w:val="0"/>
          <w:i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Times New Roman" w:hAnsi="Times New Roman"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宋体" w:cs="宋体"/>
          <w:color w:val="auto"/>
          <w:sz w:val="24"/>
          <w:szCs w:val="24"/>
          <w:lang w:eastAsia="zh-CN"/>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小标宋">
    <w:altName w:val="宋体"/>
    <w:panose1 w:val="02010609000101010101"/>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Calibri Light">
    <w:altName w:val="Calibri"/>
    <w:panose1 w:val="020F0302020204030204"/>
    <w:charset w:val="00"/>
    <w:family w:val="auto"/>
    <w:pitch w:val="default"/>
    <w:sig w:usb0="00000000" w:usb1="00000000" w:usb2="00000009" w:usb3="00000000" w:csb0="200001FF"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420E"/>
    <w:multiLevelType w:val="singleLevel"/>
    <w:tmpl w:val="5820420E"/>
    <w:lvl w:ilvl="0" w:tentative="0">
      <w:start w:val="1"/>
      <w:numFmt w:val="chineseCounting"/>
      <w:suff w:val="nothing"/>
      <w:lvlText w:val="%1、"/>
      <w:lvlJc w:val="left"/>
    </w:lvl>
  </w:abstractNum>
  <w:abstractNum w:abstractNumId="1">
    <w:nsid w:val="582046AB"/>
    <w:multiLevelType w:val="singleLevel"/>
    <w:tmpl w:val="582046AB"/>
    <w:lvl w:ilvl="0" w:tentative="0">
      <w:start w:val="3"/>
      <w:numFmt w:val="chineseCounting"/>
      <w:suff w:val="nothing"/>
      <w:lvlText w:val="%1、"/>
      <w:lvlJc w:val="left"/>
    </w:lvl>
  </w:abstractNum>
  <w:abstractNum w:abstractNumId="2">
    <w:nsid w:val="58EAE947"/>
    <w:multiLevelType w:val="singleLevel"/>
    <w:tmpl w:val="58EAE947"/>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235AA"/>
    <w:rsid w:val="03885E6B"/>
    <w:rsid w:val="03AC0937"/>
    <w:rsid w:val="063B3506"/>
    <w:rsid w:val="1236660A"/>
    <w:rsid w:val="13B843E1"/>
    <w:rsid w:val="17DB0225"/>
    <w:rsid w:val="1A8336C7"/>
    <w:rsid w:val="1C427F38"/>
    <w:rsid w:val="1FBF0554"/>
    <w:rsid w:val="25007998"/>
    <w:rsid w:val="264B4B0C"/>
    <w:rsid w:val="2A7878DA"/>
    <w:rsid w:val="2F0C34C2"/>
    <w:rsid w:val="2F40021B"/>
    <w:rsid w:val="31810F96"/>
    <w:rsid w:val="31C97216"/>
    <w:rsid w:val="3C236E56"/>
    <w:rsid w:val="3E8F4B94"/>
    <w:rsid w:val="4671749C"/>
    <w:rsid w:val="476A1C4C"/>
    <w:rsid w:val="48870384"/>
    <w:rsid w:val="57CD5E8B"/>
    <w:rsid w:val="5A163B1E"/>
    <w:rsid w:val="5BDE3481"/>
    <w:rsid w:val="60E859AD"/>
    <w:rsid w:val="61E76364"/>
    <w:rsid w:val="6E9902B4"/>
    <w:rsid w:val="73830A6A"/>
    <w:rsid w:val="76011E51"/>
    <w:rsid w:val="789235AA"/>
    <w:rsid w:val="794C52FB"/>
    <w:rsid w:val="7EC358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sz w:val="21"/>
      <w:szCs w:val="21"/>
      <w:u w:val="none"/>
    </w:rPr>
  </w:style>
  <w:style w:type="character" w:styleId="5">
    <w:name w:val="Emphasis"/>
    <w:basedOn w:val="3"/>
    <w:qFormat/>
    <w:uiPriority w:val="0"/>
  </w:style>
  <w:style w:type="character" w:styleId="6">
    <w:name w:val="HTML Definition"/>
    <w:basedOn w:val="3"/>
    <w:qFormat/>
    <w:uiPriority w:val="0"/>
  </w:style>
  <w:style w:type="character" w:styleId="7">
    <w:name w:val="HTML Acronym"/>
    <w:basedOn w:val="3"/>
    <w:qFormat/>
    <w:uiPriority w:val="0"/>
  </w:style>
  <w:style w:type="character" w:styleId="8">
    <w:name w:val="HTML Variable"/>
    <w:basedOn w:val="3"/>
    <w:qFormat/>
    <w:uiPriority w:val="0"/>
  </w:style>
  <w:style w:type="character" w:styleId="9">
    <w:name w:val="Hyperlink"/>
    <w:basedOn w:val="3"/>
    <w:qFormat/>
    <w:uiPriority w:val="0"/>
    <w:rPr>
      <w:color w:val="333333"/>
      <w:sz w:val="21"/>
      <w:szCs w:val="21"/>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3">
    <w:name w:val="fontstyle01"/>
    <w:basedOn w:val="3"/>
    <w:qFormat/>
    <w:uiPriority w:val="0"/>
    <w:rPr>
      <w:rFonts w:ascii="TimesNewRomanPSMT" w:hAnsi="TimesNewRomanPSMT" w:eastAsia="TimesNewRomanPSMT" w:cs="TimesNewRomanPSMT"/>
      <w:color w:val="000000"/>
      <w:sz w:val="44"/>
      <w:szCs w:val="44"/>
    </w:rPr>
  </w:style>
  <w:style w:type="character" w:customStyle="1" w:styleId="14">
    <w:name w:val="fontstyle21"/>
    <w:basedOn w:val="3"/>
    <w:qFormat/>
    <w:uiPriority w:val="0"/>
    <w:rPr>
      <w:rFonts w:ascii="方正小标宋简体" w:hAnsi="方正小标宋简体" w:eastAsia="方正小标宋简体" w:cs="方正小标宋简体"/>
      <w:color w:val="000000"/>
      <w:sz w:val="44"/>
      <w:szCs w:val="44"/>
    </w:rPr>
  </w:style>
  <w:style w:type="character" w:customStyle="1" w:styleId="15">
    <w:name w:val="fontstyle31"/>
    <w:basedOn w:val="3"/>
    <w:qFormat/>
    <w:uiPriority w:val="0"/>
    <w:rPr>
      <w:rFonts w:ascii="仿宋_GB2312" w:hAnsi="仿宋_GB2312" w:eastAsia="仿宋_GB2312" w:cs="仿宋_GB2312"/>
      <w:color w:val="000000"/>
      <w:sz w:val="32"/>
      <w:szCs w:val="32"/>
    </w:rPr>
  </w:style>
  <w:style w:type="character" w:customStyle="1" w:styleId="16">
    <w:name w:val="fontstyle11"/>
    <w:basedOn w:val="3"/>
    <w:qFormat/>
    <w:uiPriority w:val="0"/>
    <w:rPr>
      <w:rFonts w:ascii="TimesNewRomanPSMT" w:hAnsi="TimesNewRomanPSMT" w:eastAsia="TimesNewRomanPSMT" w:cs="TimesNewRomanPSMT"/>
      <w:color w:val="000000"/>
      <w:sz w:val="32"/>
      <w:szCs w:val="32"/>
    </w:rPr>
  </w:style>
  <w:style w:type="character" w:customStyle="1" w:styleId="17">
    <w:name w:val="fontstyle41"/>
    <w:basedOn w:val="3"/>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28102710414"/>
          <c:y val="0.0924327069578466"/>
          <c:w val="0.791212553495007"/>
          <c:h val="0.80253936008126"/>
        </c:manualLayout>
      </c:layout>
      <c:barChart>
        <c:barDir val="col"/>
        <c:grouping val="clustered"/>
        <c:varyColors val="0"/>
        <c:ser>
          <c:idx val="0"/>
          <c:order val="0"/>
          <c:spPr>
            <a:solidFill>
              <a:schemeClr val="accent1"/>
            </a:solidFill>
            <a:ln>
              <a:noFill/>
            </a:ln>
            <a:effectLst/>
          </c:spPr>
          <c:invertIfNegative val="0"/>
          <c:dLbls>
            <c:delete val="1"/>
          </c:dLbls>
          <c:cat>
            <c:strRef>
              <c:f>[工作簿1]Sheet1!$B$3:$C$3</c:f>
              <c:strCache>
                <c:ptCount val="2"/>
                <c:pt idx="0">
                  <c:v>2015年</c:v>
                </c:pt>
                <c:pt idx="1">
                  <c:v>2016年</c:v>
                </c:pt>
              </c:strCache>
            </c:strRef>
          </c:cat>
          <c:val>
            <c:numRef>
              <c:f>[工作簿1]Sheet1!$B$4:$C$4</c:f>
              <c:numCache>
                <c:formatCode>General</c:formatCode>
                <c:ptCount val="2"/>
                <c:pt idx="0" c:formatCode="General">
                  <c:v>187</c:v>
                </c:pt>
                <c:pt idx="1" c:formatCode="General">
                  <c:v>199</c:v>
                </c:pt>
              </c:numCache>
            </c:numRef>
          </c:val>
        </c:ser>
        <c:dLbls>
          <c:showLegendKey val="0"/>
          <c:showVal val="0"/>
          <c:showCatName val="0"/>
          <c:showSerName val="0"/>
          <c:showPercent val="0"/>
          <c:showBubbleSize val="0"/>
        </c:dLbls>
        <c:gapWidth val="219"/>
        <c:overlap val="-27"/>
        <c:axId val="982912793"/>
        <c:axId val="559293866"/>
      </c:barChart>
      <c:catAx>
        <c:axId val="982912793"/>
        <c:scaling>
          <c:orientation val="minMax"/>
        </c:scaling>
        <c:delete val="0"/>
        <c:axPos val="b"/>
        <c:majorTickMark val="none"/>
        <c:minorTickMark val="none"/>
        <c:tickLblPos val="nextTo"/>
        <c:spPr>
          <a:noFill/>
          <a:ln w="9525" cap="flat" cmpd="sng" algn="ctr">
            <a:solidFill>
              <a:schemeClr val="tx1"/>
            </a:solidFill>
            <a:round/>
            <a:tailEnd type="triangle"/>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9293866"/>
        <c:crosses val="autoZero"/>
        <c:auto val="1"/>
        <c:lblAlgn val="ctr"/>
        <c:lblOffset val="100"/>
        <c:noMultiLvlLbl val="0"/>
      </c:catAx>
      <c:valAx>
        <c:axId val="559293866"/>
        <c:scaling>
          <c:orientation val="minMax"/>
          <c:min val="0"/>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公开信息条目</a:t>
                </a:r>
              </a:p>
            </c:rich>
          </c:tx>
          <c:layout/>
          <c:overlay val="0"/>
          <c:spPr>
            <a:noFill/>
            <a:ln>
              <a:noFill/>
            </a:ln>
            <a:effectLst/>
          </c:spPr>
        </c:title>
        <c:numFmt formatCode="General" sourceLinked="1"/>
        <c:majorTickMark val="none"/>
        <c:minorTickMark val="none"/>
        <c:tickLblPos val="nextTo"/>
        <c:spPr>
          <a:noFill/>
          <a:ln w="12700" cmpd="sng">
            <a:solidFill>
              <a:schemeClr val="tx1"/>
            </a:solidFill>
            <a:prstDash val="solid"/>
            <a:tailEnd type="triangle"/>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912793"/>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2016-11-07T07:46:00Z</dcterms:created>
  <dc:creator>fgw</dc:creator>
  <cp:lastModifiedBy>Administrator</cp:lastModifiedBy>
  <cp:lastPrinted>2016-11-08T01:06:00Z</cp:lastPrinted>
  <dcterms:modified xsi:type="dcterms:W3CDTF">2017-04-10T08:04:53Z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